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8E310">
      <w:pPr>
        <w:widowControl w:val="0"/>
        <w:spacing w:before="30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11595100</wp:posOffset>
            </wp:positionV>
            <wp:extent cx="295275" cy="257175"/>
            <wp:effectExtent l="0" t="0" r="9525" b="9525"/>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295275" cy="257175"/>
                    </a:xfrm>
                    <a:prstGeom prst="rect">
                      <a:avLst/>
                    </a:prstGeom>
                  </pic:spPr>
                </pic:pic>
              </a:graphicData>
            </a:graphic>
          </wp:anchor>
        </w:drawing>
      </w:r>
      <w:r>
        <w:rPr>
          <w:b/>
          <w:bCs/>
          <w:sz w:val="32"/>
          <w:szCs w:val="32"/>
        </w:rPr>
        <w:t>2024</w:t>
      </w:r>
      <w:r>
        <w:rPr>
          <w:rFonts w:ascii="宋体" w:hAnsi="宋体" w:eastAsia="宋体" w:cs="宋体"/>
          <w:b/>
          <w:bCs/>
          <w:sz w:val="32"/>
          <w:szCs w:val="32"/>
        </w:rPr>
        <w:t>年四川省眉山市中考历史试题</w:t>
      </w:r>
    </w:p>
    <w:p w14:paraId="214DF2C8">
      <w:pPr>
        <w:widowControl w:val="0"/>
        <w:spacing w:before="300" w:after="0" w:line="360" w:lineRule="auto"/>
      </w:pPr>
      <w:r>
        <w:rPr>
          <w:rFonts w:ascii="宋体" w:hAnsi="宋体" w:eastAsia="宋体" w:cs="宋体"/>
          <w:b/>
          <w:bCs/>
        </w:rPr>
        <w:t>注意事项：</w:t>
      </w:r>
    </w:p>
    <w:p w14:paraId="0F7737C1">
      <w:pPr>
        <w:widowControl w:val="0"/>
        <w:spacing w:before="0" w:after="0" w:line="286" w:lineRule="auto"/>
      </w:pPr>
      <w:r>
        <w:rPr>
          <w:b/>
          <w:bCs/>
        </w:rPr>
        <w:t>1.</w:t>
      </w:r>
      <w:r>
        <w:rPr>
          <w:rFonts w:ascii="宋体" w:hAnsi="宋体" w:eastAsia="宋体" w:cs="宋体"/>
          <w:b/>
          <w:bCs/>
        </w:rPr>
        <w:t>本堂考试为开卷考试，试卷满分</w:t>
      </w:r>
      <w:r>
        <w:rPr>
          <w:b/>
          <w:bCs/>
        </w:rPr>
        <w:t>100</w:t>
      </w:r>
      <w:r>
        <w:rPr>
          <w:rFonts w:ascii="宋体" w:hAnsi="宋体" w:eastAsia="宋体" w:cs="宋体"/>
          <w:b/>
          <w:bCs/>
        </w:rPr>
        <w:t>分，考试时间</w:t>
      </w:r>
      <w:r>
        <w:rPr>
          <w:b/>
          <w:bCs/>
        </w:rPr>
        <w:t>120</w:t>
      </w:r>
      <w:r>
        <w:rPr>
          <w:rFonts w:ascii="宋体" w:hAnsi="宋体" w:eastAsia="宋体" w:cs="宋体"/>
          <w:b/>
          <w:bCs/>
        </w:rPr>
        <w:t>分钟。</w:t>
      </w:r>
    </w:p>
    <w:p w14:paraId="7CE65E5C">
      <w:pPr>
        <w:widowControl w:val="0"/>
        <w:spacing w:before="0" w:after="0" w:line="286" w:lineRule="auto"/>
      </w:pPr>
      <w:r>
        <w:rPr>
          <w:b/>
          <w:bCs/>
        </w:rPr>
        <w:t>2.</w:t>
      </w:r>
      <w:r>
        <w:rPr>
          <w:rFonts w:ascii="宋体" w:hAnsi="宋体" w:eastAsia="宋体" w:cs="宋体"/>
          <w:b/>
          <w:bCs/>
        </w:rPr>
        <w:t>在答题前，考生务必将自己的姓名、座位号、准考证号准确填写在答题卡相应的位置。</w:t>
      </w:r>
    </w:p>
    <w:p w14:paraId="5EFCA27F">
      <w:pPr>
        <w:widowControl w:val="0"/>
        <w:spacing w:before="0" w:after="0" w:line="286" w:lineRule="auto"/>
      </w:pPr>
      <w:r>
        <w:rPr>
          <w:b/>
          <w:bCs/>
        </w:rPr>
        <w:t>3.</w:t>
      </w:r>
      <w:r>
        <w:rPr>
          <w:rFonts w:ascii="宋体" w:hAnsi="宋体" w:eastAsia="宋体" w:cs="宋体"/>
          <w:b/>
          <w:bCs/>
        </w:rPr>
        <w:t>本试卷分</w:t>
      </w:r>
      <w:r>
        <w:rPr>
          <w:b/>
          <w:bCs/>
        </w:rPr>
        <w:t>I</w:t>
      </w:r>
      <w:r>
        <w:rPr>
          <w:rFonts w:ascii="宋体" w:hAnsi="宋体" w:eastAsia="宋体" w:cs="宋体"/>
          <w:b/>
          <w:bCs/>
        </w:rPr>
        <w:t>卷、卷，共</w:t>
      </w:r>
      <w:r>
        <w:rPr>
          <w:b/>
          <w:bCs/>
        </w:rPr>
        <w:t>12</w:t>
      </w:r>
      <w:r>
        <w:rPr>
          <w:rFonts w:ascii="宋体" w:hAnsi="宋体" w:eastAsia="宋体" w:cs="宋体"/>
          <w:b/>
          <w:bCs/>
        </w:rPr>
        <w:t>页。第</w:t>
      </w:r>
      <w:r>
        <w:rPr>
          <w:b/>
          <w:bCs/>
        </w:rPr>
        <w:t>I</w:t>
      </w:r>
      <w:r>
        <w:rPr>
          <w:rFonts w:ascii="宋体" w:hAnsi="宋体" w:eastAsia="宋体" w:cs="宋体"/>
          <w:b/>
          <w:bCs/>
        </w:rPr>
        <w:t>卷第</w:t>
      </w:r>
      <w:r>
        <w:rPr>
          <w:b/>
          <w:bCs/>
        </w:rPr>
        <w:t>1</w:t>
      </w:r>
      <w:r>
        <w:rPr>
          <w:rFonts w:ascii="宋体" w:hAnsi="宋体" w:eastAsia="宋体" w:cs="宋体"/>
          <w:b/>
          <w:bCs/>
        </w:rPr>
        <w:t>页至第</w:t>
      </w:r>
      <w:r>
        <w:rPr>
          <w:b/>
          <w:bCs/>
        </w:rPr>
        <w:t>6</w:t>
      </w:r>
      <w:r>
        <w:rPr>
          <w:rFonts w:ascii="宋体" w:hAnsi="宋体" w:eastAsia="宋体" w:cs="宋体"/>
          <w:b/>
          <w:bCs/>
        </w:rPr>
        <w:t>页为道德与法治、历史选择题，其中第</w:t>
      </w:r>
      <w:r>
        <w:rPr>
          <w:b/>
          <w:bCs/>
        </w:rPr>
        <w:t>1</w:t>
      </w:r>
      <w:r>
        <w:rPr>
          <w:rFonts w:ascii="宋体" w:hAnsi="宋体" w:eastAsia="宋体" w:cs="宋体"/>
          <w:b/>
          <w:bCs/>
        </w:rPr>
        <w:t>—</w:t>
      </w:r>
      <w:r>
        <w:rPr>
          <w:b/>
          <w:bCs/>
        </w:rPr>
        <w:t>12</w:t>
      </w:r>
      <w:r>
        <w:rPr>
          <w:rFonts w:ascii="宋体" w:hAnsi="宋体" w:eastAsia="宋体" w:cs="宋体"/>
          <w:b/>
          <w:bCs/>
        </w:rPr>
        <w:t>题为道德与法治试题，第</w:t>
      </w:r>
      <w:r>
        <w:rPr>
          <w:b/>
          <w:bCs/>
        </w:rPr>
        <w:t>13</w:t>
      </w:r>
      <w:r>
        <w:rPr>
          <w:rFonts w:ascii="宋体" w:hAnsi="宋体" w:eastAsia="宋体" w:cs="宋体"/>
          <w:b/>
          <w:bCs/>
        </w:rPr>
        <w:t>—</w:t>
      </w:r>
      <w:r>
        <w:rPr>
          <w:b/>
          <w:bCs/>
        </w:rPr>
        <w:t>24</w:t>
      </w:r>
      <w:r>
        <w:rPr>
          <w:rFonts w:ascii="宋体" w:hAnsi="宋体" w:eastAsia="宋体" w:cs="宋体"/>
          <w:b/>
          <w:bCs/>
        </w:rPr>
        <w:t>题为历史试题，每题</w:t>
      </w:r>
      <w:r>
        <w:rPr>
          <w:b/>
          <w:bCs/>
        </w:rPr>
        <w:t>2</w:t>
      </w:r>
      <w:r>
        <w:rPr>
          <w:rFonts w:ascii="宋体" w:hAnsi="宋体" w:eastAsia="宋体" w:cs="宋体"/>
          <w:b/>
          <w:bCs/>
        </w:rPr>
        <w:t>分，共</w:t>
      </w:r>
      <w:r>
        <w:rPr>
          <w:b/>
          <w:bCs/>
        </w:rPr>
        <w:t>48</w:t>
      </w:r>
      <w:r>
        <w:rPr>
          <w:rFonts w:ascii="宋体" w:hAnsi="宋体" w:eastAsia="宋体" w:cs="宋体"/>
          <w:b/>
          <w:bCs/>
        </w:rPr>
        <w:t>分；第</w:t>
      </w:r>
      <w:r>
        <w:rPr>
          <w:b/>
          <w:bCs/>
        </w:rPr>
        <w:t>I</w:t>
      </w:r>
      <w:r>
        <w:rPr>
          <w:rFonts w:ascii="宋体" w:hAnsi="宋体" w:eastAsia="宋体" w:cs="宋体"/>
          <w:b/>
          <w:bCs/>
        </w:rPr>
        <w:t>卷第</w:t>
      </w:r>
      <w:r>
        <w:rPr>
          <w:b/>
          <w:bCs/>
        </w:rPr>
        <w:t>7</w:t>
      </w:r>
      <w:r>
        <w:rPr>
          <w:rFonts w:ascii="宋体" w:hAnsi="宋体" w:eastAsia="宋体" w:cs="宋体"/>
          <w:b/>
          <w:bCs/>
        </w:rPr>
        <w:t>页至第</w:t>
      </w:r>
      <w:r>
        <w:rPr>
          <w:b/>
          <w:bCs/>
        </w:rPr>
        <w:t>12</w:t>
      </w:r>
      <w:r>
        <w:rPr>
          <w:rFonts w:ascii="宋体" w:hAnsi="宋体" w:eastAsia="宋体" w:cs="宋体"/>
          <w:b/>
          <w:bCs/>
        </w:rPr>
        <w:t>页为道德与法治、历史非选择题，共</w:t>
      </w:r>
      <w:r>
        <w:rPr>
          <w:b/>
          <w:bCs/>
        </w:rPr>
        <w:t>52</w:t>
      </w:r>
      <w:r>
        <w:rPr>
          <w:rFonts w:ascii="宋体" w:hAnsi="宋体" w:eastAsia="宋体" w:cs="宋体"/>
          <w:b/>
          <w:bCs/>
        </w:rPr>
        <w:t>分。</w:t>
      </w:r>
    </w:p>
    <w:p w14:paraId="730ACDA8">
      <w:pPr>
        <w:widowControl w:val="0"/>
        <w:spacing w:before="0" w:after="0" w:line="286" w:lineRule="auto"/>
      </w:pPr>
      <w:r>
        <w:rPr>
          <w:b/>
          <w:bCs/>
        </w:rPr>
        <w:t>4.</w:t>
      </w:r>
      <w:r>
        <w:rPr>
          <w:rFonts w:ascii="宋体" w:hAnsi="宋体" w:eastAsia="宋体" w:cs="宋体"/>
          <w:b/>
          <w:bCs/>
        </w:rPr>
        <w:t>考生选出第</w:t>
      </w:r>
      <w:r>
        <w:rPr>
          <w:b/>
          <w:bCs/>
        </w:rPr>
        <w:t>I</w:t>
      </w:r>
      <w:r>
        <w:rPr>
          <w:rFonts w:ascii="宋体" w:hAnsi="宋体" w:eastAsia="宋体" w:cs="宋体"/>
          <w:b/>
          <w:bCs/>
        </w:rPr>
        <w:t>卷答案后，用</w:t>
      </w:r>
      <w:r>
        <w:rPr>
          <w:b/>
          <w:bCs/>
        </w:rPr>
        <w:t>2B</w:t>
      </w:r>
      <w:r>
        <w:rPr>
          <w:rFonts w:ascii="宋体" w:hAnsi="宋体" w:eastAsia="宋体" w:cs="宋体"/>
          <w:b/>
          <w:bCs/>
        </w:rPr>
        <w:t>铅笔把答题卡上对应题目的答案标号涂黑。如需改动，请用橡皮擦擦干净，再选涂其它答案。不能直接在试卷上作答。第Ⅱ卷试题答案用</w:t>
      </w:r>
      <w:r>
        <w:rPr>
          <w:b/>
          <w:bCs/>
        </w:rPr>
        <w:t>0.5</w:t>
      </w:r>
      <w:r>
        <w:rPr>
          <w:rFonts w:ascii="宋体" w:hAnsi="宋体" w:eastAsia="宋体" w:cs="宋体"/>
          <w:b/>
          <w:bCs/>
        </w:rPr>
        <w:t>毫米的黑色签字笔在答题卡相应的答题区作答，超出限定区域的答案无效。</w:t>
      </w:r>
    </w:p>
    <w:p w14:paraId="76E17339">
      <w:pPr>
        <w:widowControl w:val="0"/>
        <w:spacing w:before="0" w:after="0" w:line="286" w:lineRule="auto"/>
        <w:jc w:val="center"/>
      </w:pPr>
      <w:r>
        <w:rPr>
          <w:rFonts w:ascii="宋体" w:hAnsi="宋体" w:eastAsia="宋体" w:cs="宋体"/>
          <w:b/>
          <w:bCs/>
        </w:rPr>
        <w:t>第</w:t>
      </w:r>
      <w:r>
        <w:rPr>
          <w:b/>
          <w:bCs/>
        </w:rPr>
        <w:t>I</w:t>
      </w:r>
      <w:r>
        <w:rPr>
          <w:rFonts w:ascii="宋体" w:hAnsi="宋体" w:eastAsia="宋体" w:cs="宋体"/>
          <w:b/>
          <w:bCs/>
        </w:rPr>
        <w:t>卷（选择题共</w:t>
      </w:r>
      <w:r>
        <w:rPr>
          <w:b/>
          <w:bCs/>
        </w:rPr>
        <w:t>48</w:t>
      </w:r>
      <w:r>
        <w:rPr>
          <w:rFonts w:ascii="宋体" w:hAnsi="宋体" w:eastAsia="宋体" w:cs="宋体"/>
          <w:b/>
          <w:bCs/>
        </w:rPr>
        <w:t>分）</w:t>
      </w:r>
    </w:p>
    <w:p w14:paraId="3BF8EF76">
      <w:pPr>
        <w:widowControl w:val="0"/>
        <w:spacing w:before="0" w:after="0" w:line="286" w:lineRule="auto"/>
      </w:pPr>
      <w:r>
        <w:rPr>
          <w:rFonts w:ascii="宋体" w:hAnsi="宋体" w:eastAsia="宋体" w:cs="宋体"/>
          <w:b/>
          <w:bCs/>
        </w:rPr>
        <w:t>一、选择题（下列每小题只有一个备选项符合题目要求。每小题</w:t>
      </w:r>
      <w:r>
        <w:rPr>
          <w:b/>
          <w:bCs/>
        </w:rPr>
        <w:t>2</w:t>
      </w:r>
      <w:r>
        <w:rPr>
          <w:rFonts w:ascii="宋体" w:hAnsi="宋体" w:eastAsia="宋体" w:cs="宋体"/>
          <w:b/>
          <w:bCs/>
        </w:rPr>
        <w:t>分，共</w:t>
      </w:r>
      <w:r>
        <w:rPr>
          <w:b/>
          <w:bCs/>
        </w:rPr>
        <w:t>48</w:t>
      </w:r>
      <w:r>
        <w:rPr>
          <w:rFonts w:ascii="宋体" w:hAnsi="宋体" w:eastAsia="宋体" w:cs="宋体"/>
          <w:b/>
          <w:bCs/>
        </w:rPr>
        <w:t>分）</w:t>
      </w:r>
    </w:p>
    <w:p w14:paraId="3DEEB431">
      <w:pPr>
        <w:widowControl w:val="0"/>
        <w:spacing w:before="0" w:after="0" w:line="360" w:lineRule="auto"/>
        <w:rPr>
          <w:sz w:val="21"/>
          <w:szCs w:val="21"/>
        </w:rPr>
      </w:pPr>
      <w:r>
        <w:rPr>
          <w:sz w:val="21"/>
          <w:szCs w:val="21"/>
        </w:rPr>
        <w:t>1. 1975</w:t>
      </w:r>
      <w:r>
        <w:rPr>
          <w:rFonts w:ascii="宋体" w:hAnsi="宋体" w:eastAsia="宋体" w:cs="宋体"/>
          <w:sz w:val="21"/>
          <w:szCs w:val="21"/>
        </w:rPr>
        <w:t>年</w:t>
      </w:r>
      <w:r>
        <w:rPr>
          <w:sz w:val="21"/>
          <w:szCs w:val="21"/>
        </w:rPr>
        <w:t>12</w:t>
      </w:r>
      <w:r>
        <w:rPr>
          <w:rFonts w:ascii="宋体" w:hAnsi="宋体" w:eastAsia="宋体" w:cs="宋体"/>
          <w:sz w:val="21"/>
          <w:szCs w:val="21"/>
        </w:rPr>
        <w:t>月，湖北云梦睡虎地四号秦墓中出土了两件木牍。木牍是战国晚期参加伐楚的秦军士兵黑夫兄弟写给长兄的家书。在家书里，他们特地询问，因杀敌立功而晋升爵位的立功文书是否收到，相关待遇是否落实。这封家书佐证了商鞅变法（</w:t>
      </w:r>
      <w:r>
        <w:rPr>
          <w:sz w:val="21"/>
          <w:szCs w:val="21"/>
        </w:rPr>
        <w:t xml:space="preserve">   </w:t>
      </w:r>
      <w:r>
        <w:rPr>
          <w:rFonts w:ascii="宋体" w:hAnsi="宋体" w:eastAsia="宋体" w:cs="宋体"/>
          <w:sz w:val="21"/>
          <w:szCs w:val="21"/>
        </w:rPr>
        <w:t>）</w:t>
      </w:r>
    </w:p>
    <w:p w14:paraId="792DF5F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建立县制</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奖励军功</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鼓励耕织</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废除特权</w:t>
      </w:r>
    </w:p>
    <w:p w14:paraId="7AC384E8">
      <w:pPr>
        <w:widowControl w:val="0"/>
        <w:spacing w:before="0" w:after="0" w:line="360" w:lineRule="auto"/>
        <w:rPr>
          <w:sz w:val="21"/>
          <w:szCs w:val="21"/>
        </w:rPr>
      </w:pPr>
      <w:r>
        <w:rPr>
          <w:sz w:val="21"/>
          <w:szCs w:val="21"/>
        </w:rPr>
        <w:t xml:space="preserve">2. </w:t>
      </w:r>
      <w:r>
        <w:rPr>
          <w:rFonts w:ascii="宋体" w:hAnsi="宋体" w:eastAsia="宋体" w:cs="宋体"/>
          <w:sz w:val="21"/>
          <w:szCs w:val="21"/>
        </w:rPr>
        <w:t>汉文帝和汉景帝时期，减轻赋税徭役，重视“以德化民”，提倡勤俭治国。这一时期，政治清明，经济发展，人民生活安定。历史上称之为（</w:t>
      </w:r>
      <w:r>
        <w:rPr>
          <w:sz w:val="21"/>
          <w:szCs w:val="21"/>
        </w:rPr>
        <w:t xml:space="preserve">   </w:t>
      </w:r>
      <w:r>
        <w:rPr>
          <w:rFonts w:ascii="宋体" w:hAnsi="宋体" w:eastAsia="宋体" w:cs="宋体"/>
          <w:sz w:val="21"/>
          <w:szCs w:val="21"/>
        </w:rPr>
        <w:t>）</w:t>
      </w:r>
    </w:p>
    <w:p w14:paraId="0D6C36B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文景之治</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光武中兴</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贞观之治</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开元盛世</w:t>
      </w:r>
    </w:p>
    <w:p w14:paraId="164B77AC">
      <w:pPr>
        <w:widowControl w:val="0"/>
        <w:spacing w:before="0" w:after="0" w:line="360" w:lineRule="auto"/>
        <w:rPr>
          <w:sz w:val="21"/>
          <w:szCs w:val="21"/>
        </w:rPr>
      </w:pPr>
      <w:r>
        <w:rPr>
          <w:sz w:val="21"/>
          <w:szCs w:val="21"/>
        </w:rPr>
        <w:t xml:space="preserve">3. </w:t>
      </w:r>
      <w:r>
        <w:rPr>
          <w:rFonts w:ascii="宋体" w:hAnsi="宋体" w:eastAsia="宋体" w:cs="宋体"/>
          <w:sz w:val="21"/>
          <w:szCs w:val="21"/>
        </w:rPr>
        <w:t>学习历史离不开事实判断和价值判断。事实判断只解决“真伪”问题，而价值判断是对事物的美丑、善恶、好坏、进步或落后等进行评价。下列属于价值判断的是（</w:t>
      </w:r>
      <w:r>
        <w:rPr>
          <w:sz w:val="21"/>
          <w:szCs w:val="21"/>
        </w:rPr>
        <w:t xml:space="preserve">   </w:t>
      </w:r>
      <w:r>
        <w:rPr>
          <w:rFonts w:ascii="宋体" w:hAnsi="宋体" w:eastAsia="宋体" w:cs="宋体"/>
          <w:sz w:val="21"/>
          <w:szCs w:val="21"/>
        </w:rPr>
        <w:t>）</w:t>
      </w:r>
    </w:p>
    <w:p w14:paraId="4941FE7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长平之战</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楚汉之争</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赤壁之战</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安史之乱</w:t>
      </w:r>
    </w:p>
    <w:p w14:paraId="220A2002">
      <w:pPr>
        <w:widowControl w:val="0"/>
        <w:spacing w:before="0" w:after="0" w:line="360" w:lineRule="auto"/>
        <w:rPr>
          <w:sz w:val="21"/>
          <w:szCs w:val="21"/>
        </w:rPr>
      </w:pPr>
      <w:r>
        <w:rPr>
          <w:sz w:val="21"/>
          <w:szCs w:val="21"/>
        </w:rPr>
        <w:t xml:space="preserve">4. </w:t>
      </w:r>
      <w:r>
        <w:rPr>
          <w:rFonts w:ascii="宋体" w:hAnsi="宋体" w:eastAsia="宋体" w:cs="宋体"/>
          <w:sz w:val="21"/>
          <w:szCs w:val="21"/>
        </w:rPr>
        <w:t>下表摘自眉山市三苏祠陈列的“吏事精详”中的“景德、元祐各级官员数量表”（该表根据苏辙《元祐会计录收支叙》统计）。表中官员数量大量增加的主要原因是宋朝（</w:t>
      </w:r>
      <w:r>
        <w:rPr>
          <w:sz w:val="21"/>
          <w:szCs w:val="21"/>
        </w:rPr>
        <w:t xml:space="preserve">   </w:t>
      </w:r>
      <w:r>
        <w:rPr>
          <w:rFonts w:ascii="宋体" w:hAnsi="宋体" w:eastAsia="宋体" w:cs="宋体"/>
          <w:sz w:val="21"/>
          <w:szCs w:val="21"/>
        </w:rPr>
        <w:t>）</w:t>
      </w: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970"/>
        <w:gridCol w:w="2243"/>
        <w:gridCol w:w="2243"/>
      </w:tblGrid>
      <w:tr w14:paraId="5988B14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35A200A9">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各级官员</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9706265">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景德（</w:t>
            </w:r>
            <w:r>
              <w:rPr>
                <w:b w:val="0"/>
                <w:bCs w:val="0"/>
                <w:i w:val="0"/>
                <w:iCs w:val="0"/>
                <w:smallCaps w:val="0"/>
                <w:color w:val="000000"/>
                <w:sz w:val="21"/>
                <w:szCs w:val="21"/>
              </w:rPr>
              <w:t>1004-1007</w:t>
            </w:r>
            <w:r>
              <w:rPr>
                <w:rFonts w:ascii="宋体" w:hAnsi="宋体" w:eastAsia="宋体" w:cs="宋体"/>
                <w:b w:val="0"/>
                <w:bCs w:val="0"/>
                <w:i w:val="0"/>
                <w:iCs w:val="0"/>
                <w:smallCaps w:val="0"/>
                <w:color w:val="000000"/>
                <w:sz w:val="21"/>
                <w:szCs w:val="21"/>
              </w:rPr>
              <w:t>年）</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3D18DA74">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元祐（</w:t>
            </w:r>
            <w:r>
              <w:rPr>
                <w:b w:val="0"/>
                <w:bCs w:val="0"/>
                <w:i w:val="0"/>
                <w:iCs w:val="0"/>
                <w:smallCaps w:val="0"/>
                <w:color w:val="000000"/>
                <w:sz w:val="21"/>
                <w:szCs w:val="21"/>
              </w:rPr>
              <w:t>1084-1094</w:t>
            </w:r>
            <w:r>
              <w:rPr>
                <w:rFonts w:ascii="宋体" w:hAnsi="宋体" w:eastAsia="宋体" w:cs="宋体"/>
                <w:b w:val="0"/>
                <w:bCs w:val="0"/>
                <w:i w:val="0"/>
                <w:iCs w:val="0"/>
                <w:smallCaps w:val="0"/>
                <w:color w:val="000000"/>
                <w:sz w:val="21"/>
                <w:szCs w:val="21"/>
              </w:rPr>
              <w:t>年）</w:t>
            </w:r>
          </w:p>
        </w:tc>
      </w:tr>
      <w:tr w14:paraId="33FFB07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9F78D27">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大夫（景德为诸曹郎中）</w:t>
            </w:r>
          </w:p>
        </w:tc>
        <w:tc>
          <w:tcPr>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D52739F">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39</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502B83AF">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230</w:t>
            </w:r>
          </w:p>
        </w:tc>
      </w:tr>
      <w:tr w14:paraId="3942C85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4604FAD">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朝奉郎以上（景德为员外郎）</w:t>
            </w:r>
          </w:p>
        </w:tc>
        <w:tc>
          <w:tcPr>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ECDF2C9">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165</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012F4602">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695</w:t>
            </w:r>
          </w:p>
        </w:tc>
      </w:tr>
      <w:tr w14:paraId="59C2A0F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2751567D">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副使</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76645E3D">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63</w:t>
            </w:r>
          </w:p>
        </w:tc>
        <w:tc>
          <w:tcPr>
            <w:tcBorders>
              <w:top w:val="single" w:color="000000" w:sz="6" w:space="0"/>
              <w:left w:val="single" w:color="000000" w:sz="6" w:space="0"/>
            </w:tcBorders>
            <w:noWrap w:val="0"/>
            <w:tcMar>
              <w:top w:w="76" w:type="dxa"/>
              <w:left w:w="120" w:type="dxa"/>
              <w:bottom w:w="76" w:type="dxa"/>
              <w:right w:w="120" w:type="dxa"/>
            </w:tcMar>
            <w:vAlign w:val="center"/>
          </w:tcPr>
          <w:p w14:paraId="00012EC1">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1111</w:t>
            </w:r>
          </w:p>
        </w:tc>
      </w:tr>
    </w:tbl>
    <w:p w14:paraId="6404F32F">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11" name="图片 100011"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page number 0"/>
                    <pic:cNvPicPr>
                      <a:picLocks noChangeAspect="1"/>
                    </pic:cNvPicPr>
                  </pic:nvPicPr>
                  <pic:blipFill>
                    <a:blip r:embed="rId15"/>
                    <a:stretch>
                      <a:fillRect/>
                    </a:stretch>
                  </pic:blipFill>
                  <pic:spPr>
                    <a:xfrm>
                      <a:off x="0" y="0"/>
                      <a:ext cx="28575" cy="28575"/>
                    </a:xfrm>
                    <a:prstGeom prst="rect">
                      <a:avLst/>
                    </a:prstGeom>
                  </pic:spPr>
                </pic:pic>
              </a:graphicData>
            </a:graphic>
          </wp:inline>
        </w:drawing>
      </w:r>
    </w:p>
    <w:p w14:paraId="63234715">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70"/>
        <w:gridCol w:w="660"/>
        <w:gridCol w:w="660"/>
      </w:tblGrid>
      <w:tr w14:paraId="77A85E9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7B8B5342">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供奉官</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06AA4C3">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193</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7AE8BAEF">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1322</w:t>
            </w:r>
          </w:p>
        </w:tc>
      </w:tr>
      <w:tr w14:paraId="6C7AFBD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BD22692">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侍禁</w:t>
            </w:r>
          </w:p>
        </w:tc>
        <w:tc>
          <w:tcPr>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289917E">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316</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32E47A2F">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2177</w:t>
            </w:r>
          </w:p>
        </w:tc>
      </w:tr>
      <w:tr w14:paraId="351F283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EFC17F1">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p>
        </w:tc>
        <w:tc>
          <w:tcPr>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B8A8BC5">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595BA27D">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p>
        </w:tc>
      </w:tr>
      <w:tr w14:paraId="621FD94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71C4679D">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总计</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47C1D445">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1138</w:t>
            </w:r>
          </w:p>
        </w:tc>
        <w:tc>
          <w:tcPr>
            <w:tcBorders>
              <w:top w:val="single" w:color="000000" w:sz="6" w:space="0"/>
              <w:left w:val="single" w:color="000000" w:sz="6" w:space="0"/>
            </w:tcBorders>
            <w:noWrap w:val="0"/>
            <w:tcMar>
              <w:top w:w="76" w:type="dxa"/>
              <w:left w:w="120" w:type="dxa"/>
              <w:bottom w:w="76" w:type="dxa"/>
              <w:right w:w="120" w:type="dxa"/>
            </w:tcMar>
            <w:vAlign w:val="center"/>
          </w:tcPr>
          <w:p w14:paraId="087CEC11">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6767</w:t>
            </w:r>
          </w:p>
        </w:tc>
      </w:tr>
    </w:tbl>
    <w:p w14:paraId="2D5E65AD">
      <w:pPr>
        <w:widowControl w:val="0"/>
        <w:spacing w:before="0" w:after="0" w:line="360" w:lineRule="auto"/>
        <w:rPr>
          <w:sz w:val="21"/>
          <w:szCs w:val="21"/>
        </w:rPr>
      </w:pPr>
    </w:p>
    <w:p w14:paraId="235245A9">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实行重文轻武政策，大量重用文臣</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改革和发展科举制，提高进士地位</w:t>
      </w:r>
    </w:p>
    <w:p w14:paraId="4B56291A">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增设多重机构和官员，以分化事权</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与辽、西夏政权对峙，以应对战事</w:t>
      </w:r>
    </w:p>
    <w:p w14:paraId="1FCFB5CB">
      <w:pPr>
        <w:widowControl w:val="0"/>
        <w:spacing w:before="0" w:after="0" w:line="360" w:lineRule="auto"/>
        <w:rPr>
          <w:sz w:val="21"/>
          <w:szCs w:val="21"/>
        </w:rPr>
      </w:pPr>
      <w:r>
        <w:rPr>
          <w:sz w:val="21"/>
          <w:szCs w:val="21"/>
        </w:rPr>
        <w:t xml:space="preserve">5. </w:t>
      </w:r>
      <w:r>
        <w:rPr>
          <w:rFonts w:ascii="宋体" w:hAnsi="宋体" w:eastAsia="宋体" w:cs="宋体"/>
          <w:sz w:val="21"/>
          <w:szCs w:val="21"/>
        </w:rPr>
        <w:t>清末，梁启超首先提出“中华民族”这一概念；到民国初年，各种以“中华”命名的组织和机构蓬勃兴起，如“中华革命党”“中华银行”等。这一现象（</w:t>
      </w:r>
      <w:r>
        <w:rPr>
          <w:sz w:val="21"/>
          <w:szCs w:val="21"/>
        </w:rPr>
        <w:t xml:space="preserve">   </w:t>
      </w:r>
      <w:r>
        <w:rPr>
          <w:rFonts w:ascii="宋体" w:hAnsi="宋体" w:eastAsia="宋体" w:cs="宋体"/>
          <w:sz w:val="21"/>
          <w:szCs w:val="21"/>
        </w:rPr>
        <w:t>）</w:t>
      </w:r>
    </w:p>
    <w:p w14:paraId="4CF679B8">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否定了传统的华夷观念</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有利于维新变法思想传播</w:t>
      </w:r>
    </w:p>
    <w:p w14:paraId="2F49227C">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体现民族意识进一步觉醒</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推动民主革命运动的发展</w:t>
      </w:r>
    </w:p>
    <w:p w14:paraId="2F8BC505">
      <w:pPr>
        <w:widowControl w:val="0"/>
        <w:spacing w:before="0" w:after="0" w:line="360" w:lineRule="auto"/>
        <w:rPr>
          <w:sz w:val="21"/>
          <w:szCs w:val="21"/>
        </w:rPr>
      </w:pPr>
      <w:r>
        <w:rPr>
          <w:sz w:val="21"/>
          <w:szCs w:val="21"/>
        </w:rPr>
        <w:t xml:space="preserve">6. </w:t>
      </w:r>
      <w:r>
        <w:rPr>
          <w:rFonts w:ascii="宋体" w:hAnsi="宋体" w:eastAsia="宋体" w:cs="宋体"/>
          <w:sz w:val="21"/>
          <w:szCs w:val="21"/>
        </w:rPr>
        <w:t>下图是中国国家博物馆珍藏的一份饱经血与火洗礼的党证。党证的主人是农民贺页朵，内容是：“牺牲个人，严守秘密，阶级斗争，努力革命，服从党纪，永不叛党。”这份</w:t>
      </w:r>
      <w:r>
        <w:rPr>
          <w:sz w:val="21"/>
          <w:szCs w:val="21"/>
        </w:rPr>
        <w:t>1931</w:t>
      </w:r>
      <w:r>
        <w:rPr>
          <w:rFonts w:ascii="宋体" w:hAnsi="宋体" w:eastAsia="宋体" w:cs="宋体"/>
          <w:sz w:val="21"/>
          <w:szCs w:val="21"/>
        </w:rPr>
        <w:t>年的党证见证的历史发生在（</w:t>
      </w:r>
      <w:r>
        <w:rPr>
          <w:sz w:val="21"/>
          <w:szCs w:val="21"/>
        </w:rPr>
        <w:t xml:space="preserve">   </w:t>
      </w:r>
      <w:r>
        <w:rPr>
          <w:rFonts w:ascii="宋体" w:hAnsi="宋体" w:eastAsia="宋体" w:cs="宋体"/>
          <w:sz w:val="21"/>
          <w:szCs w:val="21"/>
        </w:rPr>
        <w:t>）</w:t>
      </w:r>
    </w:p>
    <w:p w14:paraId="450C90E6">
      <w:pPr>
        <w:widowControl w:val="0"/>
        <w:spacing w:before="0" w:after="0" w:line="360" w:lineRule="auto"/>
        <w:rPr>
          <w:sz w:val="21"/>
          <w:szCs w:val="21"/>
        </w:rPr>
      </w:pPr>
      <w:r>
        <w:rPr>
          <w:strike w:val="0"/>
          <w:sz w:val="21"/>
          <w:szCs w:val="21"/>
          <w:u w:val="none"/>
        </w:rPr>
        <w:drawing>
          <wp:inline distT="0" distB="0" distL="114300" distR="114300">
            <wp:extent cx="4667250" cy="2828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67250" cy="2828925"/>
                    </a:xfrm>
                    <a:prstGeom prst="rect">
                      <a:avLst/>
                    </a:prstGeom>
                  </pic:spPr>
                </pic:pic>
              </a:graphicData>
            </a:graphic>
          </wp:inline>
        </w:drawing>
      </w:r>
    </w:p>
    <w:p w14:paraId="55EE651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大革命时期</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土地革命时期</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抗日战争时期</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解放战争时期</w:t>
      </w:r>
    </w:p>
    <w:p w14:paraId="194E6F63">
      <w:pPr>
        <w:widowControl w:val="0"/>
        <w:spacing w:before="0" w:after="0" w:line="360" w:lineRule="auto"/>
        <w:rPr>
          <w:sz w:val="21"/>
          <w:szCs w:val="21"/>
        </w:rPr>
      </w:pPr>
      <w:r>
        <w:rPr>
          <w:sz w:val="21"/>
          <w:szCs w:val="21"/>
        </w:rPr>
        <w:t xml:space="preserve">7. </w:t>
      </w:r>
      <w:r>
        <w:rPr>
          <w:rFonts w:ascii="宋体" w:hAnsi="宋体" w:eastAsia="宋体" w:cs="宋体"/>
          <w:sz w:val="21"/>
          <w:szCs w:val="21"/>
        </w:rPr>
        <w:t>抗日战争进入相持阶段后，日、伪军加紧封锁和进攻敌后抗日根据地。</w:t>
      </w:r>
      <w:r>
        <w:rPr>
          <w:sz w:val="21"/>
          <w:szCs w:val="21"/>
        </w:rPr>
        <w:t>1939</w:t>
      </w:r>
      <w:r>
        <w:rPr>
          <w:rFonts w:ascii="宋体" w:hAnsi="宋体" w:eastAsia="宋体" w:cs="宋体"/>
          <w:sz w:val="21"/>
          <w:szCs w:val="21"/>
        </w:rPr>
        <w:t>年</w:t>
      </w:r>
      <w:r>
        <w:rPr>
          <w:sz w:val="21"/>
          <w:szCs w:val="21"/>
        </w:rPr>
        <w:t>2</w:t>
      </w:r>
      <w:r>
        <w:rPr>
          <w:rFonts w:ascii="宋体" w:hAnsi="宋体" w:eastAsia="宋体" w:cs="宋体"/>
          <w:sz w:val="21"/>
          <w:szCs w:val="21"/>
        </w:rPr>
        <w:t>月</w:t>
      </w:r>
      <w:r>
        <w:rPr>
          <w:sz w:val="21"/>
          <w:szCs w:val="21"/>
        </w:rPr>
        <w:t>2</w:t>
      </w:r>
      <w:r>
        <w:rPr>
          <w:rFonts w:ascii="宋体" w:hAnsi="宋体" w:eastAsia="宋体" w:cs="宋体"/>
          <w:sz w:val="21"/>
          <w:szCs w:val="21"/>
        </w:rPr>
        <w:t>日中共中央在延安召开生产动员大会，毛泽东发出了“自己动手，自力更生，艰苦奋斗克服困难”的号召，要求部队、机关、学校发展生产。随后，各抗日根据地的生产运动广泛开展起来，并取得了显著成绩。大生产运动（</w:t>
      </w:r>
      <w:r>
        <w:rPr>
          <w:sz w:val="21"/>
          <w:szCs w:val="21"/>
        </w:rPr>
        <w:t xml:space="preserve">   </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027" name="图片 100027"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page number 1"/>
                    <pic:cNvPicPr>
                      <a:picLocks noChangeAspect="1"/>
                    </pic:cNvPicPr>
                  </pic:nvPicPr>
                  <pic:blipFill>
                    <a:blip r:embed="rId15"/>
                    <a:stretch>
                      <a:fillRect/>
                    </a:stretch>
                  </pic:blipFill>
                  <pic:spPr>
                    <a:xfrm>
                      <a:off x="0" y="0"/>
                      <a:ext cx="28575" cy="28575"/>
                    </a:xfrm>
                    <a:prstGeom prst="rect">
                      <a:avLst/>
                    </a:prstGeom>
                  </pic:spPr>
                </pic:pic>
              </a:graphicData>
            </a:graphic>
          </wp:inline>
        </w:drawing>
      </w:r>
    </w:p>
    <w:p w14:paraId="43687012">
      <w:pPr>
        <w:sectPr>
          <w:headerReference r:id="rId9" w:type="default"/>
          <w:type w:val="continuous"/>
          <w:pgSz w:w="11927" w:h="16875"/>
          <w:pgMar w:top="800" w:right="1120" w:bottom="540" w:left="1120" w:header="708" w:footer="708" w:gutter="0"/>
          <w:cols w:space="708" w:num="1"/>
          <w:docGrid w:linePitch="360" w:charSpace="0"/>
        </w:sectPr>
      </w:pPr>
    </w:p>
    <w:p w14:paraId="1EAD131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解决了根据地农民土地问题</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推动了抗日民主政权的建立</w:t>
      </w:r>
    </w:p>
    <w:p w14:paraId="04DE417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适应了抗日战争形势的变化</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粉碎了日寇疯狂的军事进攻</w:t>
      </w:r>
    </w:p>
    <w:p w14:paraId="7A1CD08B">
      <w:pPr>
        <w:widowControl w:val="0"/>
        <w:spacing w:before="0" w:after="0" w:line="360" w:lineRule="auto"/>
        <w:rPr>
          <w:sz w:val="21"/>
          <w:szCs w:val="21"/>
        </w:rPr>
      </w:pPr>
      <w:r>
        <w:rPr>
          <w:sz w:val="21"/>
          <w:szCs w:val="21"/>
        </w:rPr>
        <w:t xml:space="preserve">8. </w:t>
      </w:r>
      <w:r>
        <w:rPr>
          <w:rFonts w:ascii="宋体" w:hAnsi="宋体" w:eastAsia="宋体" w:cs="宋体"/>
          <w:sz w:val="21"/>
          <w:szCs w:val="21"/>
        </w:rPr>
        <w:t>创作于</w:t>
      </w:r>
      <w:r>
        <w:rPr>
          <w:sz w:val="21"/>
          <w:szCs w:val="21"/>
        </w:rPr>
        <w:t>1960</w:t>
      </w:r>
      <w:r>
        <w:rPr>
          <w:rFonts w:ascii="宋体" w:hAnsi="宋体" w:eastAsia="宋体" w:cs="宋体"/>
          <w:sz w:val="21"/>
          <w:szCs w:val="21"/>
        </w:rPr>
        <w:t>年的《翻身农奴把歌唱》，唱出了百万农奴翻身当家做主的喜悦，唱出了感谢毛主席和党恩的真情，表达了拥护中国共产党领导的坚定决心。该歌曲创作的历史背景是西藏（</w:t>
      </w:r>
      <w:r>
        <w:rPr>
          <w:sz w:val="21"/>
          <w:szCs w:val="21"/>
        </w:rPr>
        <w:t xml:space="preserve">   </w:t>
      </w:r>
      <w:r>
        <w:rPr>
          <w:rFonts w:ascii="宋体" w:hAnsi="宋体" w:eastAsia="宋体" w:cs="宋体"/>
          <w:sz w:val="21"/>
          <w:szCs w:val="21"/>
        </w:rPr>
        <w:t>）</w:t>
      </w:r>
    </w:p>
    <w:p w14:paraId="70D81AE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和平解放</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进行民主改革</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自治区建立</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实行改革开放</w:t>
      </w:r>
    </w:p>
    <w:p w14:paraId="6F7A3460">
      <w:pPr>
        <w:widowControl w:val="0"/>
        <w:spacing w:before="0" w:after="0" w:line="360" w:lineRule="auto"/>
        <w:rPr>
          <w:sz w:val="21"/>
          <w:szCs w:val="21"/>
        </w:rPr>
      </w:pPr>
      <w:r>
        <w:rPr>
          <w:sz w:val="21"/>
          <w:szCs w:val="21"/>
        </w:rPr>
        <w:t xml:space="preserve">9. </w:t>
      </w:r>
      <w:r>
        <w:rPr>
          <w:rFonts w:ascii="宋体" w:hAnsi="宋体" w:eastAsia="宋体" w:cs="宋体"/>
          <w:sz w:val="21"/>
          <w:szCs w:val="21"/>
        </w:rPr>
        <w:t>新中国成立后的第一年，就同苏联等十几个国家建立了外交关系。</w:t>
      </w:r>
      <w:r>
        <w:rPr>
          <w:sz w:val="21"/>
          <w:szCs w:val="21"/>
        </w:rPr>
        <w:t>1972</w:t>
      </w:r>
      <w:r>
        <w:rPr>
          <w:rFonts w:ascii="宋体" w:hAnsi="宋体" w:eastAsia="宋体" w:cs="宋体"/>
          <w:sz w:val="21"/>
          <w:szCs w:val="21"/>
        </w:rPr>
        <w:t>年后，许多国家纷纷与我国建立外交关系，出现了建交的高潮。截至</w:t>
      </w:r>
      <w:r>
        <w:rPr>
          <w:sz w:val="21"/>
          <w:szCs w:val="21"/>
        </w:rPr>
        <w:t>2023</w:t>
      </w:r>
      <w:r>
        <w:rPr>
          <w:rFonts w:ascii="宋体" w:hAnsi="宋体" w:eastAsia="宋体" w:cs="宋体"/>
          <w:sz w:val="21"/>
          <w:szCs w:val="21"/>
        </w:rPr>
        <w:t>年</w:t>
      </w:r>
      <w:r>
        <w:rPr>
          <w:sz w:val="21"/>
          <w:szCs w:val="21"/>
        </w:rPr>
        <w:t>3</w:t>
      </w:r>
      <w:r>
        <w:rPr>
          <w:rFonts w:ascii="宋体" w:hAnsi="宋体" w:eastAsia="宋体" w:cs="宋体"/>
          <w:sz w:val="21"/>
          <w:szCs w:val="21"/>
        </w:rPr>
        <w:t>月，已与世界上</w:t>
      </w:r>
      <w:r>
        <w:rPr>
          <w:sz w:val="21"/>
          <w:szCs w:val="21"/>
        </w:rPr>
        <w:t>182</w:t>
      </w:r>
      <w:r>
        <w:rPr>
          <w:rFonts w:ascii="宋体" w:hAnsi="宋体" w:eastAsia="宋体" w:cs="宋体"/>
          <w:sz w:val="21"/>
          <w:szCs w:val="21"/>
        </w:rPr>
        <w:t>个国家建交，参加了</w:t>
      </w:r>
      <w:r>
        <w:rPr>
          <w:sz w:val="21"/>
          <w:szCs w:val="21"/>
        </w:rPr>
        <w:t>100</w:t>
      </w:r>
      <w:r>
        <w:rPr>
          <w:rFonts w:ascii="宋体" w:hAnsi="宋体" w:eastAsia="宋体" w:cs="宋体"/>
          <w:sz w:val="21"/>
          <w:szCs w:val="21"/>
        </w:rPr>
        <w:t>多个政府间国际组织的工作。这些表明我国（</w:t>
      </w:r>
      <w:r>
        <w:rPr>
          <w:sz w:val="21"/>
          <w:szCs w:val="21"/>
        </w:rPr>
        <w:t xml:space="preserve">   </w:t>
      </w:r>
      <w:r>
        <w:rPr>
          <w:rFonts w:ascii="宋体" w:hAnsi="宋体" w:eastAsia="宋体" w:cs="宋体"/>
          <w:sz w:val="21"/>
          <w:szCs w:val="21"/>
        </w:rPr>
        <w:t>）</w:t>
      </w:r>
    </w:p>
    <w:p w14:paraId="2AA166AF">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国际影响力逐步提高</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与发展中国家关系改善</w:t>
      </w:r>
    </w:p>
    <w:p w14:paraId="0C1762E3">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大国担当风范得到体现</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国际合作成果日益显著</w:t>
      </w:r>
    </w:p>
    <w:p w14:paraId="50AA81ED">
      <w:pPr>
        <w:widowControl w:val="0"/>
        <w:spacing w:before="0" w:after="0" w:line="360" w:lineRule="auto"/>
        <w:rPr>
          <w:sz w:val="21"/>
          <w:szCs w:val="21"/>
        </w:rPr>
      </w:pPr>
      <w:r>
        <w:rPr>
          <w:sz w:val="21"/>
          <w:szCs w:val="21"/>
        </w:rPr>
        <w:t xml:space="preserve">10. </w:t>
      </w:r>
      <w:r>
        <w:rPr>
          <w:rFonts w:ascii="宋体" w:hAnsi="宋体" w:eastAsia="宋体" w:cs="宋体"/>
          <w:sz w:val="21"/>
          <w:szCs w:val="21"/>
        </w:rPr>
        <w:t>欧洲人在中世纪时的食物物种主要有大麦、小麦、葡萄、橄榄、鸡、牛等。从</w:t>
      </w:r>
      <w:r>
        <w:rPr>
          <w:sz w:val="21"/>
          <w:szCs w:val="21"/>
        </w:rPr>
        <w:t>16</w:t>
      </w:r>
      <w:r>
        <w:rPr>
          <w:rFonts w:ascii="宋体" w:hAnsi="宋体" w:eastAsia="宋体" w:cs="宋体"/>
          <w:sz w:val="21"/>
          <w:szCs w:val="21"/>
        </w:rPr>
        <w:t>世纪中叶起，开始广泛种植玉米、马铃薯、甘薯、番茄、辣椒和南瓜等，食物品种更加丰富。这一显著变化得益于（</w:t>
      </w:r>
      <w:r>
        <w:rPr>
          <w:sz w:val="21"/>
          <w:szCs w:val="21"/>
        </w:rPr>
        <w:t xml:space="preserve">   </w:t>
      </w:r>
      <w:r>
        <w:rPr>
          <w:rFonts w:ascii="宋体" w:hAnsi="宋体" w:eastAsia="宋体" w:cs="宋体"/>
          <w:sz w:val="21"/>
          <w:szCs w:val="21"/>
        </w:rPr>
        <w:t>）</w:t>
      </w:r>
    </w:p>
    <w:p w14:paraId="0A9EB97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西欧庄园发展</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文艺复兴</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新航路的开辟</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工业革命</w:t>
      </w:r>
    </w:p>
    <w:p w14:paraId="128B85AB">
      <w:pPr>
        <w:widowControl w:val="0"/>
        <w:spacing w:before="0" w:after="0" w:line="360" w:lineRule="auto"/>
        <w:rPr>
          <w:sz w:val="21"/>
          <w:szCs w:val="21"/>
        </w:rPr>
      </w:pPr>
      <w:r>
        <w:rPr>
          <w:sz w:val="21"/>
          <w:szCs w:val="21"/>
        </w:rPr>
        <w:t xml:space="preserve">11. </w:t>
      </w:r>
      <w:r>
        <w:rPr>
          <w:rFonts w:ascii="宋体" w:hAnsi="宋体" w:eastAsia="宋体" w:cs="宋体"/>
          <w:sz w:val="21"/>
          <w:szCs w:val="21"/>
        </w:rPr>
        <w:t>下面是</w:t>
      </w:r>
      <w:r>
        <w:rPr>
          <w:sz w:val="21"/>
          <w:szCs w:val="21"/>
        </w:rPr>
        <w:t>19</w:t>
      </w:r>
      <w:r>
        <w:rPr>
          <w:rFonts w:ascii="宋体" w:hAnsi="宋体" w:eastAsia="宋体" w:cs="宋体"/>
          <w:sz w:val="21"/>
          <w:szCs w:val="21"/>
        </w:rPr>
        <w:t>世纪中期发生在世界上的一些大事，这些事件反映出（</w:t>
      </w:r>
      <w:r>
        <w:rPr>
          <w:sz w:val="21"/>
          <w:szCs w:val="21"/>
        </w:rPr>
        <w:t>     </w:t>
      </w:r>
      <w:r>
        <w:rPr>
          <w:rFonts w:ascii="宋体" w:hAnsi="宋体" w:eastAsia="宋体" w:cs="宋体"/>
          <w:sz w:val="21"/>
          <w:szCs w:val="21"/>
        </w:rPr>
        <w:t>）</w:t>
      </w:r>
    </w:p>
    <w:tbl>
      <w:tblPr>
        <w:tblStyle w:val="4"/>
        <w:tblW w:w="292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338"/>
        <w:gridCol w:w="1587"/>
      </w:tblGrid>
      <w:tr w14:paraId="6D39EE7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bottom w:val="single" w:color="000000" w:sz="6" w:space="0"/>
              <w:right w:val="single" w:color="000000" w:sz="6" w:space="0"/>
            </w:tcBorders>
            <w:noWrap w:val="0"/>
            <w:tcMar>
              <w:top w:w="76" w:type="dxa"/>
              <w:left w:w="120" w:type="dxa"/>
              <w:bottom w:w="76" w:type="dxa"/>
              <w:right w:w="120" w:type="dxa"/>
            </w:tcMar>
            <w:vAlign w:val="center"/>
          </w:tcPr>
          <w:p w14:paraId="55AAEEF4">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时间</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52BE8A54">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事件</w:t>
            </w:r>
          </w:p>
        </w:tc>
      </w:tr>
      <w:tr w14:paraId="20460E5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AE7FF9F">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1861</w:t>
            </w:r>
            <w:r>
              <w:rPr>
                <w:rFonts w:ascii="宋体" w:hAnsi="宋体" w:eastAsia="宋体" w:cs="宋体"/>
                <w:b w:val="0"/>
                <w:bCs w:val="0"/>
                <w:i w:val="0"/>
                <w:iCs w:val="0"/>
                <w:smallCaps w:val="0"/>
                <w:color w:val="000000"/>
                <w:sz w:val="21"/>
                <w:szCs w:val="21"/>
              </w:rPr>
              <w:t>年</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4A5FF8BC">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俄国农奴制改革</w:t>
            </w:r>
          </w:p>
        </w:tc>
      </w:tr>
      <w:tr w14:paraId="2C9A93A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FE8D246">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1861-1865</w:t>
            </w:r>
            <w:r>
              <w:rPr>
                <w:rFonts w:ascii="宋体" w:hAnsi="宋体" w:eastAsia="宋体" w:cs="宋体"/>
                <w:b w:val="0"/>
                <w:bCs w:val="0"/>
                <w:i w:val="0"/>
                <w:iCs w:val="0"/>
                <w:smallCaps w:val="0"/>
                <w:color w:val="000000"/>
                <w:sz w:val="21"/>
                <w:szCs w:val="21"/>
              </w:rPr>
              <w:t>年</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189D3F70">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美国内战</w:t>
            </w:r>
          </w:p>
        </w:tc>
      </w:tr>
      <w:tr w14:paraId="790F616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top w:val="single" w:color="000000" w:sz="6" w:space="0"/>
              <w:right w:val="single" w:color="000000" w:sz="6" w:space="0"/>
            </w:tcBorders>
            <w:noWrap w:val="0"/>
            <w:tcMar>
              <w:top w:w="76" w:type="dxa"/>
              <w:left w:w="120" w:type="dxa"/>
              <w:bottom w:w="76" w:type="dxa"/>
              <w:right w:w="120" w:type="dxa"/>
            </w:tcMar>
            <w:vAlign w:val="center"/>
          </w:tcPr>
          <w:p w14:paraId="5EE39E04">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1868</w:t>
            </w:r>
            <w:r>
              <w:rPr>
                <w:rFonts w:ascii="宋体" w:hAnsi="宋体" w:eastAsia="宋体" w:cs="宋体"/>
                <w:b w:val="0"/>
                <w:bCs w:val="0"/>
                <w:i w:val="0"/>
                <w:iCs w:val="0"/>
                <w:smallCaps w:val="0"/>
                <w:color w:val="000000"/>
                <w:sz w:val="21"/>
                <w:szCs w:val="21"/>
              </w:rPr>
              <w:t>年</w:t>
            </w:r>
          </w:p>
        </w:tc>
        <w:tc>
          <w:tcPr>
            <w:tcBorders>
              <w:top w:val="single" w:color="000000" w:sz="6" w:space="0"/>
              <w:left w:val="single" w:color="000000" w:sz="6" w:space="0"/>
            </w:tcBorders>
            <w:noWrap w:val="0"/>
            <w:tcMar>
              <w:top w:w="76" w:type="dxa"/>
              <w:left w:w="120" w:type="dxa"/>
              <w:bottom w:w="76" w:type="dxa"/>
              <w:right w:w="120" w:type="dxa"/>
            </w:tcMar>
            <w:vAlign w:val="center"/>
          </w:tcPr>
          <w:p w14:paraId="6FA50A63">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日本明治维新</w:t>
            </w:r>
          </w:p>
        </w:tc>
      </w:tr>
    </w:tbl>
    <w:p w14:paraId="7434981C">
      <w:pPr>
        <w:widowControl w:val="0"/>
        <w:spacing w:before="0" w:after="0" w:line="360" w:lineRule="auto"/>
        <w:rPr>
          <w:sz w:val="21"/>
          <w:szCs w:val="21"/>
        </w:rPr>
      </w:pPr>
    </w:p>
    <w:p w14:paraId="79CADFB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欧洲中心地位已确立</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电气时代已到来</w:t>
      </w:r>
    </w:p>
    <w:p w14:paraId="61FB4FB5">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世界各国正同步发展</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资本主义的扩展</w:t>
      </w:r>
    </w:p>
    <w:p w14:paraId="3A5FA9A3">
      <w:pPr>
        <w:widowControl w:val="0"/>
        <w:spacing w:before="0" w:after="0" w:line="360" w:lineRule="auto"/>
        <w:rPr>
          <w:sz w:val="21"/>
          <w:szCs w:val="21"/>
        </w:rPr>
      </w:pPr>
      <w:r>
        <w:rPr>
          <w:sz w:val="21"/>
          <w:szCs w:val="21"/>
        </w:rPr>
        <w:t xml:space="preserve">12. </w:t>
      </w:r>
      <w:r>
        <w:rPr>
          <w:rFonts w:ascii="宋体" w:hAnsi="宋体" w:eastAsia="宋体" w:cs="宋体"/>
          <w:sz w:val="21"/>
          <w:szCs w:val="21"/>
        </w:rPr>
        <w:t>苏联解体后，美国企图建立一个以自己为主导的“单极世界”。但是，欧盟、日本、中国、俄罗斯等一些具备较强综合实力的国家联盟或国家也在国际和地区事务中发挥着重要作用，这推动（</w:t>
      </w:r>
      <w:r>
        <w:rPr>
          <w:sz w:val="21"/>
          <w:szCs w:val="21"/>
        </w:rPr>
        <w:t xml:space="preserve">   </w:t>
      </w:r>
      <w:r>
        <w:rPr>
          <w:rFonts w:ascii="宋体" w:hAnsi="宋体" w:eastAsia="宋体" w:cs="宋体"/>
          <w:sz w:val="21"/>
          <w:szCs w:val="21"/>
        </w:rPr>
        <w:t>）</w:t>
      </w:r>
    </w:p>
    <w:p w14:paraId="59F97DA8">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世界经济呈全球化发展趋势</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各国不论大小国际地位平等</w:t>
      </w:r>
    </w:p>
    <w:p w14:paraId="4E2D25E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经济呈区域集团化发展趋势</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世界格局呈多极化发展趋势</w:t>
      </w:r>
    </w:p>
    <w:p w14:paraId="3DAB286C">
      <w:pPr>
        <w:widowControl w:val="0"/>
        <w:spacing w:before="0" w:after="0" w:line="286" w:lineRule="auto"/>
        <w:jc w:val="center"/>
      </w:pPr>
      <w:r>
        <w:rPr>
          <w:rFonts w:ascii="宋体" w:hAnsi="宋体" w:eastAsia="宋体" w:cs="宋体"/>
          <w:b/>
          <w:bCs/>
        </w:rPr>
        <w:t>第Ⅱ卷（非选择题共</w:t>
      </w:r>
      <w:r>
        <w:rPr>
          <w:b/>
          <w:bCs/>
        </w:rPr>
        <w:t>52</w:t>
      </w:r>
      <w:r>
        <w:rPr>
          <w:rFonts w:ascii="宋体" w:hAnsi="宋体" w:eastAsia="宋体" w:cs="宋体"/>
          <w:b/>
          <w:bCs/>
        </w:rPr>
        <w:t>分）</w:t>
      </w:r>
    </w:p>
    <w:p w14:paraId="5B15890C">
      <w:pPr>
        <w:widowControl w:val="0"/>
        <w:spacing w:before="0" w:after="0" w:line="286" w:lineRule="auto"/>
      </w:pPr>
      <w:r>
        <w:rPr>
          <w:rFonts w:ascii="宋体" w:hAnsi="宋体" w:eastAsia="宋体" w:cs="宋体"/>
          <w:b/>
          <w:bCs/>
        </w:rPr>
        <w:t>二、非选择题</w:t>
      </w:r>
    </w:p>
    <w:p w14:paraId="0869B5F0">
      <w:pPr>
        <w:widowControl w:val="0"/>
        <w:spacing w:before="0" w:after="0" w:line="360" w:lineRule="auto"/>
        <w:rPr>
          <w:sz w:val="21"/>
          <w:szCs w:val="21"/>
        </w:rPr>
      </w:pPr>
      <w:r>
        <w:rPr>
          <w:sz w:val="21"/>
          <w:szCs w:val="21"/>
        </w:rPr>
        <w:t xml:space="preserve">13. </w:t>
      </w:r>
      <w:r>
        <w:rPr>
          <w:rFonts w:ascii="宋体" w:hAnsi="宋体" w:eastAsia="宋体" w:cs="宋体"/>
          <w:sz w:val="21"/>
          <w:szCs w:val="21"/>
        </w:rPr>
        <w:t>阅读材料、完成下列要求。</w:t>
      </w:r>
    </w:p>
    <w:p w14:paraId="613D4F1C">
      <w:pPr>
        <w:widowControl w:val="0"/>
        <w:spacing w:before="0" w:after="0" w:line="360" w:lineRule="auto"/>
        <w:ind w:firstLine="420"/>
        <w:rPr>
          <w:sz w:val="21"/>
          <w:szCs w:val="21"/>
        </w:rPr>
      </w:pPr>
      <w:r>
        <w:rPr>
          <w:rFonts w:ascii="楷体" w:hAnsi="楷体" w:eastAsia="楷体" w:cs="楷体"/>
          <w:sz w:val="21"/>
          <w:szCs w:val="21"/>
        </w:rPr>
        <w:t>材料</w:t>
      </w:r>
      <w:r>
        <w:rPr>
          <w:sz w:val="21"/>
          <w:szCs w:val="21"/>
        </w:rPr>
        <w:t xml:space="preserve">  </w:t>
      </w:r>
      <w:r>
        <w:rPr>
          <w:rFonts w:ascii="楷体" w:hAnsi="楷体" w:eastAsia="楷体" w:cs="楷体"/>
          <w:sz w:val="21"/>
          <w:szCs w:val="21"/>
        </w:rPr>
        <w:t>古代蜀地非涝即旱，有“泽国”“赤盆”之称。当时，蜀地生产力水平低下，人口稀少。战国</w:t>
      </w:r>
      <w:r>
        <w:rPr>
          <w:strike w:val="0"/>
          <w:sz w:val="21"/>
          <w:szCs w:val="21"/>
          <w:u w:val="none"/>
        </w:rPr>
        <w:drawing>
          <wp:inline distT="0" distB="0" distL="114300" distR="114300">
            <wp:extent cx="28575" cy="28575"/>
            <wp:effectExtent l="0" t="0" r="0" b="0"/>
            <wp:docPr id="100041" name="图片 100041"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page number 2"/>
                    <pic:cNvPicPr>
                      <a:picLocks noChangeAspect="1"/>
                    </pic:cNvPicPr>
                  </pic:nvPicPr>
                  <pic:blipFill>
                    <a:blip r:embed="rId15"/>
                    <a:stretch>
                      <a:fillRect/>
                    </a:stretch>
                  </pic:blipFill>
                  <pic:spPr>
                    <a:xfrm>
                      <a:off x="0" y="0"/>
                      <a:ext cx="28575" cy="28575"/>
                    </a:xfrm>
                    <a:prstGeom prst="rect">
                      <a:avLst/>
                    </a:prstGeom>
                  </pic:spPr>
                </pic:pic>
              </a:graphicData>
            </a:graphic>
          </wp:inline>
        </w:drawing>
      </w:r>
    </w:p>
    <w:p w14:paraId="2A0F3A2E">
      <w:pPr>
        <w:sectPr>
          <w:headerReference r:id="rId10" w:type="default"/>
          <w:type w:val="continuous"/>
          <w:pgSz w:w="11927" w:h="16875"/>
          <w:pgMar w:top="800" w:right="1120" w:bottom="540" w:left="1120" w:header="708" w:footer="708" w:gutter="0"/>
          <w:cols w:space="708" w:num="1"/>
          <w:docGrid w:linePitch="360" w:charSpace="0"/>
        </w:sectPr>
      </w:pPr>
    </w:p>
    <w:p w14:paraId="4EE0F6D8">
      <w:pPr>
        <w:widowControl w:val="0"/>
        <w:spacing w:before="0" w:after="0" w:line="360" w:lineRule="auto"/>
        <w:rPr>
          <w:sz w:val="21"/>
          <w:szCs w:val="21"/>
        </w:rPr>
      </w:pPr>
      <w:r>
        <w:rPr>
          <w:rFonts w:ascii="楷体" w:hAnsi="楷体" w:eastAsia="楷体" w:cs="楷体"/>
          <w:sz w:val="21"/>
          <w:szCs w:val="21"/>
        </w:rPr>
        <w:t>后期，秦国在改革政治和发展经济的过程中，注重兴修水利。公元前</w:t>
      </w:r>
      <w:r>
        <w:rPr>
          <w:sz w:val="21"/>
          <w:szCs w:val="21"/>
        </w:rPr>
        <w:t>256</w:t>
      </w:r>
      <w:r>
        <w:rPr>
          <w:rFonts w:ascii="楷体" w:hAnsi="楷体" w:eastAsia="楷体" w:cs="楷体"/>
          <w:sz w:val="21"/>
          <w:szCs w:val="21"/>
        </w:rPr>
        <w:t>年，蜀郡郡守李冰主持，在成都附近的岷江上修建都江。李冰治水“循自然，顺水势”，主张人与自然的和谐统一，在尊重自然规律的基础上发挥人的主观能动性，利用不同的水脉和地形，无坝分水，塑江排沙，因地制宜，自流灌溉。</w:t>
      </w:r>
    </w:p>
    <w:p w14:paraId="386F7FF7">
      <w:pPr>
        <w:widowControl w:val="0"/>
        <w:spacing w:before="0" w:after="0" w:line="360" w:lineRule="auto"/>
        <w:ind w:firstLine="420"/>
        <w:rPr>
          <w:sz w:val="21"/>
          <w:szCs w:val="21"/>
        </w:rPr>
      </w:pPr>
      <w:r>
        <w:rPr>
          <w:rFonts w:ascii="楷体" w:hAnsi="楷体" w:eastAsia="楷体" w:cs="楷体"/>
          <w:sz w:val="21"/>
          <w:szCs w:val="21"/>
        </w:rPr>
        <w:t>都江堰建成后，居住在成都平原的蜀人从此“水旱从人，不知饥”，秦国在蜀郡获得了继关中平原后的又一个大粮仓，为秦始皇实现天下一统的宏图提供了坚实的后勤保障。</w:t>
      </w:r>
      <w:r>
        <w:rPr>
          <w:sz w:val="21"/>
          <w:szCs w:val="21"/>
        </w:rPr>
        <w:t>2200</w:t>
      </w:r>
      <w:r>
        <w:rPr>
          <w:rFonts w:ascii="楷体" w:hAnsi="楷体" w:eastAsia="楷体" w:cs="楷体"/>
          <w:sz w:val="21"/>
          <w:szCs w:val="21"/>
        </w:rPr>
        <w:t>多年来，都江堰一直发挥巨大的作用。新中国成立以后，经过不断维护和修整，都江堰的灌溉面积不断扩大，超过</w:t>
      </w:r>
      <w:r>
        <w:rPr>
          <w:sz w:val="21"/>
          <w:szCs w:val="21"/>
        </w:rPr>
        <w:t>1000</w:t>
      </w:r>
      <w:r>
        <w:rPr>
          <w:rFonts w:ascii="楷体" w:hAnsi="楷体" w:eastAsia="楷体" w:cs="楷体"/>
          <w:sz w:val="21"/>
          <w:szCs w:val="21"/>
        </w:rPr>
        <w:t>万亩。</w:t>
      </w:r>
    </w:p>
    <w:p w14:paraId="7FC65669">
      <w:pPr>
        <w:widowControl w:val="0"/>
        <w:spacing w:before="0" w:after="0" w:line="360" w:lineRule="auto"/>
        <w:jc w:val="right"/>
        <w:rPr>
          <w:sz w:val="21"/>
          <w:szCs w:val="21"/>
        </w:rPr>
      </w:pPr>
      <w:r>
        <w:rPr>
          <w:rFonts w:ascii="楷体" w:hAnsi="楷体" w:eastAsia="楷体" w:cs="楷体"/>
          <w:sz w:val="21"/>
          <w:szCs w:val="21"/>
        </w:rPr>
        <w:t>——摘编自义务教育教科书《中国历史》（七年级上册）等</w:t>
      </w:r>
    </w:p>
    <w:p w14:paraId="1A7AE9CD">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）根据材料，指出都江堰修建成功的原因。</w:t>
      </w:r>
    </w:p>
    <w:p w14:paraId="5E7288BE">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）都江堰作为四川省一张闪亮的名片，吸引无数国人和国际友人前往研学、参观，请你就都江堰发挥的作用，向前来参观的人做一个简要的解说。</w:t>
      </w:r>
    </w:p>
    <w:p w14:paraId="6E5F93E2">
      <w:pPr>
        <w:widowControl w:val="0"/>
        <w:spacing w:before="0" w:after="0" w:line="360" w:lineRule="auto"/>
        <w:rPr>
          <w:sz w:val="21"/>
          <w:szCs w:val="21"/>
        </w:rPr>
      </w:pPr>
      <w:r>
        <w:rPr>
          <w:sz w:val="21"/>
          <w:szCs w:val="21"/>
        </w:rPr>
        <w:t xml:space="preserve">14. </w:t>
      </w:r>
      <w:r>
        <w:rPr>
          <w:rFonts w:ascii="宋体" w:hAnsi="宋体" w:eastAsia="宋体" w:cs="宋体"/>
          <w:sz w:val="21"/>
          <w:szCs w:val="21"/>
        </w:rPr>
        <w:t>新中国成立以来，中国共产党领导中国人民风雨兼程，奋斗不息，取得辉煌成就。阅读材料，完成下列要求。</w:t>
      </w:r>
    </w:p>
    <w:p w14:paraId="2815465E">
      <w:pPr>
        <w:widowControl w:val="0"/>
        <w:spacing w:before="0" w:after="0" w:line="360" w:lineRule="auto"/>
        <w:ind w:firstLine="420"/>
        <w:rPr>
          <w:sz w:val="21"/>
          <w:szCs w:val="21"/>
        </w:rPr>
      </w:pPr>
      <w:r>
        <w:rPr>
          <w:rFonts w:ascii="楷体" w:hAnsi="楷体" w:eastAsia="楷体" w:cs="楷体"/>
          <w:sz w:val="21"/>
          <w:szCs w:val="21"/>
        </w:rPr>
        <w:t>材料一</w:t>
      </w:r>
      <w:r>
        <w:rPr>
          <w:sz w:val="21"/>
          <w:szCs w:val="21"/>
        </w:rPr>
        <w:t xml:space="preserve">  </w:t>
      </w:r>
      <w:r>
        <w:rPr>
          <w:rFonts w:ascii="楷体" w:hAnsi="楷体" w:eastAsia="楷体" w:cs="楷体"/>
          <w:sz w:val="21"/>
          <w:szCs w:val="21"/>
        </w:rPr>
        <w:t>在世界范围内，工业化道路的问题从制度选择的层面去考察，无非有两条：一条是资本主义工业化道路；一条是社会主义工业化道路；从具体路径选择的层面去考察，按照陈云的说法：“工业化不外三条路：重轻并进，先重后轻，先轻后重。走哪一条路，要看我们的国情。”</w:t>
      </w:r>
    </w:p>
    <w:p w14:paraId="0BCFA97D">
      <w:pPr>
        <w:widowControl w:val="0"/>
        <w:spacing w:before="0" w:after="0" w:line="360" w:lineRule="auto"/>
        <w:jc w:val="right"/>
        <w:rPr>
          <w:sz w:val="21"/>
          <w:szCs w:val="21"/>
        </w:rPr>
      </w:pPr>
      <w:r>
        <w:rPr>
          <w:rFonts w:ascii="楷体" w:hAnsi="楷体" w:eastAsia="楷体" w:cs="楷体"/>
          <w:sz w:val="21"/>
          <w:szCs w:val="21"/>
        </w:rPr>
        <w:t>——摘编自《毛泽东思想通论》</w:t>
      </w:r>
    </w:p>
    <w:p w14:paraId="37F052B3">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）结合所学知识，指出中国在建国初期进行工业化建设的第一个总体规划。该规划在实施中选择了材料一中陈云所说“三条路”中的哪条路？</w:t>
      </w:r>
    </w:p>
    <w:p w14:paraId="58C32DC1">
      <w:pPr>
        <w:widowControl w:val="0"/>
        <w:spacing w:before="0" w:after="0" w:line="360" w:lineRule="auto"/>
        <w:ind w:firstLine="420"/>
        <w:rPr>
          <w:sz w:val="21"/>
          <w:szCs w:val="21"/>
        </w:rPr>
      </w:pPr>
      <w:r>
        <w:rPr>
          <w:rFonts w:ascii="楷体" w:hAnsi="楷体" w:eastAsia="楷体" w:cs="楷体"/>
          <w:sz w:val="21"/>
          <w:szCs w:val="21"/>
        </w:rPr>
        <w:t>材料二</w:t>
      </w:r>
      <w:r>
        <w:rPr>
          <w:sz w:val="21"/>
          <w:szCs w:val="21"/>
        </w:rPr>
        <w:t xml:space="preserve">  </w:t>
      </w:r>
      <w:r>
        <w:rPr>
          <w:rFonts w:ascii="楷体" w:hAnsi="楷体" w:eastAsia="楷体" w:cs="楷体"/>
          <w:sz w:val="21"/>
          <w:szCs w:val="21"/>
        </w:rPr>
        <w:t>改革开放以来，我国科技发展日新月异，科技实力伴随经济发展同步壮大。</w:t>
      </w:r>
      <w:r>
        <w:rPr>
          <w:sz w:val="21"/>
          <w:szCs w:val="21"/>
        </w:rPr>
        <w:t>2017</w:t>
      </w:r>
      <w:r>
        <w:rPr>
          <w:rFonts w:ascii="楷体" w:hAnsi="楷体" w:eastAsia="楷体" w:cs="楷体"/>
          <w:sz w:val="21"/>
          <w:szCs w:val="21"/>
        </w:rPr>
        <w:t>年，全国研发人员总量达到</w:t>
      </w:r>
      <w:r>
        <w:rPr>
          <w:sz w:val="21"/>
          <w:szCs w:val="21"/>
        </w:rPr>
        <w:t>621.4</w:t>
      </w:r>
      <w:r>
        <w:rPr>
          <w:rFonts w:ascii="楷体" w:hAnsi="楷体" w:eastAsia="楷体" w:cs="楷体"/>
          <w:sz w:val="21"/>
          <w:szCs w:val="21"/>
        </w:rPr>
        <w:t>万人，是</w:t>
      </w:r>
      <w:r>
        <w:rPr>
          <w:sz w:val="21"/>
          <w:szCs w:val="21"/>
        </w:rPr>
        <w:t>1991</w:t>
      </w:r>
      <w:r>
        <w:rPr>
          <w:rFonts w:ascii="楷体" w:hAnsi="楷体" w:eastAsia="楷体" w:cs="楷体"/>
          <w:sz w:val="21"/>
          <w:szCs w:val="21"/>
        </w:rPr>
        <w:t>年的</w:t>
      </w:r>
      <w:r>
        <w:rPr>
          <w:sz w:val="21"/>
          <w:szCs w:val="21"/>
        </w:rPr>
        <w:t>6</w:t>
      </w:r>
      <w:r>
        <w:rPr>
          <w:rFonts w:ascii="楷体" w:hAnsi="楷体" w:eastAsia="楷体" w:cs="楷体"/>
          <w:sz w:val="21"/>
          <w:szCs w:val="21"/>
        </w:rPr>
        <w:t>倍，科技创新队伍不断壮大。我国研发经费投入强度屡创新高，</w:t>
      </w:r>
      <w:r>
        <w:rPr>
          <w:sz w:val="21"/>
          <w:szCs w:val="21"/>
        </w:rPr>
        <w:t>2002</w:t>
      </w:r>
      <w:r>
        <w:rPr>
          <w:rFonts w:ascii="楷体" w:hAnsi="楷体" w:eastAsia="楷体" w:cs="楷体"/>
          <w:sz w:val="21"/>
          <w:szCs w:val="21"/>
        </w:rPr>
        <w:t>年首次突破国内生产总值</w:t>
      </w:r>
      <w:r>
        <w:rPr>
          <w:sz w:val="21"/>
          <w:szCs w:val="21"/>
        </w:rPr>
        <w:t>1%</w:t>
      </w:r>
      <w:r>
        <w:rPr>
          <w:rFonts w:ascii="楷体" w:hAnsi="楷体" w:eastAsia="楷体" w:cs="楷体"/>
          <w:sz w:val="21"/>
          <w:szCs w:val="21"/>
        </w:rPr>
        <w:t>，</w:t>
      </w:r>
      <w:r>
        <w:rPr>
          <w:sz w:val="21"/>
          <w:szCs w:val="21"/>
        </w:rPr>
        <w:t>2017</w:t>
      </w:r>
      <w:r>
        <w:rPr>
          <w:rFonts w:ascii="楷体" w:hAnsi="楷体" w:eastAsia="楷体" w:cs="楷体"/>
          <w:sz w:val="21"/>
          <w:szCs w:val="21"/>
        </w:rPr>
        <w:t>年提升至</w:t>
      </w:r>
      <w:r>
        <w:rPr>
          <w:sz w:val="21"/>
          <w:szCs w:val="21"/>
        </w:rPr>
        <w:t>2.13%</w:t>
      </w:r>
      <w:r>
        <w:rPr>
          <w:rFonts w:ascii="楷体" w:hAnsi="楷体" w:eastAsia="楷体" w:cs="楷体"/>
          <w:sz w:val="21"/>
          <w:szCs w:val="21"/>
        </w:rPr>
        <w:t>。整体上已超过欧盟</w:t>
      </w:r>
      <w:r>
        <w:rPr>
          <w:sz w:val="21"/>
          <w:szCs w:val="21"/>
        </w:rPr>
        <w:t>15</w:t>
      </w:r>
      <w:r>
        <w:rPr>
          <w:rFonts w:ascii="楷体" w:hAnsi="楷体" w:eastAsia="楷体" w:cs="楷体"/>
          <w:sz w:val="21"/>
          <w:szCs w:val="21"/>
        </w:rPr>
        <w:t>国平均水平。我国先后与法国、英国、美国等西方国家签订了政府间科技合作协定，科技在一定意义上成为国家对外开放的最前沿。</w:t>
      </w:r>
    </w:p>
    <w:p w14:paraId="68C81D0F">
      <w:pPr>
        <w:widowControl w:val="0"/>
        <w:spacing w:before="0" w:after="0" w:line="360" w:lineRule="auto"/>
        <w:jc w:val="right"/>
        <w:rPr>
          <w:sz w:val="21"/>
          <w:szCs w:val="21"/>
        </w:rPr>
      </w:pPr>
      <w:r>
        <w:rPr>
          <w:rFonts w:ascii="楷体" w:hAnsi="楷体" w:eastAsia="楷体" w:cs="楷体"/>
          <w:sz w:val="21"/>
          <w:szCs w:val="21"/>
        </w:rPr>
        <w:t>——摘编自《巨变：改革开放</w:t>
      </w:r>
      <w:r>
        <w:rPr>
          <w:sz w:val="21"/>
          <w:szCs w:val="21"/>
        </w:rPr>
        <w:t>40</w:t>
      </w:r>
      <w:r>
        <w:rPr>
          <w:rFonts w:ascii="楷体" w:hAnsi="楷体" w:eastAsia="楷体" w:cs="楷体"/>
          <w:sz w:val="21"/>
          <w:szCs w:val="21"/>
        </w:rPr>
        <w:t>年中国记忆》</w:t>
      </w:r>
    </w:p>
    <w:p w14:paraId="5B6E7460">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）根据材料二并结合所学知识，概括我国改革开放以来科技发展的特点。</w:t>
      </w:r>
    </w:p>
    <w:p w14:paraId="7C60F753">
      <w:pPr>
        <w:widowControl w:val="0"/>
        <w:spacing w:before="0" w:after="0" w:line="360" w:lineRule="auto"/>
        <w:ind w:firstLine="420"/>
        <w:rPr>
          <w:sz w:val="21"/>
          <w:szCs w:val="21"/>
        </w:rPr>
      </w:pPr>
      <w:r>
        <w:rPr>
          <w:rFonts w:ascii="楷体" w:hAnsi="楷体" w:eastAsia="楷体" w:cs="楷体"/>
          <w:sz w:val="21"/>
          <w:szCs w:val="21"/>
        </w:rPr>
        <w:t>材料三</w:t>
      </w:r>
      <w:r>
        <w:rPr>
          <w:sz w:val="21"/>
          <w:szCs w:val="21"/>
        </w:rPr>
        <w:t xml:space="preserve">  1978</w:t>
      </w:r>
      <w:r>
        <w:rPr>
          <w:rFonts w:ascii="楷体" w:hAnsi="楷体" w:eastAsia="楷体" w:cs="楷体"/>
          <w:sz w:val="21"/>
          <w:szCs w:val="21"/>
        </w:rPr>
        <w:t>—</w:t>
      </w:r>
      <w:r>
        <w:rPr>
          <w:sz w:val="21"/>
          <w:szCs w:val="21"/>
        </w:rPr>
        <w:t>2021</w:t>
      </w:r>
      <w:r>
        <w:rPr>
          <w:rFonts w:ascii="楷体" w:hAnsi="楷体" w:eastAsia="楷体" w:cs="楷体"/>
          <w:sz w:val="21"/>
          <w:szCs w:val="21"/>
        </w:rPr>
        <w:t>年中国经济变化简表</w:t>
      </w: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340"/>
        <w:gridCol w:w="913"/>
        <w:gridCol w:w="923"/>
        <w:gridCol w:w="1028"/>
        <w:gridCol w:w="1035"/>
        <w:gridCol w:w="1133"/>
      </w:tblGrid>
      <w:tr w14:paraId="33EA60F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08BECC69">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年份</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4F8C8B6">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1978</w:t>
            </w:r>
            <w:r>
              <w:rPr>
                <w:rFonts w:ascii="楷体" w:hAnsi="楷体" w:eastAsia="楷体" w:cs="楷体"/>
                <w:b w:val="0"/>
                <w:bCs w:val="0"/>
                <w:i w:val="0"/>
                <w:iCs w:val="0"/>
                <w:smallCaps w:val="0"/>
                <w:color w:val="000000"/>
                <w:sz w:val="21"/>
                <w:szCs w:val="21"/>
              </w:rPr>
              <w:t>年</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BB488D9">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1990</w:t>
            </w:r>
            <w:r>
              <w:rPr>
                <w:rFonts w:ascii="楷体" w:hAnsi="楷体" w:eastAsia="楷体" w:cs="楷体"/>
                <w:b w:val="0"/>
                <w:bCs w:val="0"/>
                <w:i w:val="0"/>
                <w:iCs w:val="0"/>
                <w:smallCaps w:val="0"/>
                <w:color w:val="000000"/>
                <w:sz w:val="21"/>
                <w:szCs w:val="21"/>
              </w:rPr>
              <w:t>年</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A26F21F">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2000</w:t>
            </w:r>
            <w:r>
              <w:rPr>
                <w:rFonts w:ascii="楷体" w:hAnsi="楷体" w:eastAsia="楷体" w:cs="楷体"/>
                <w:b w:val="0"/>
                <w:bCs w:val="0"/>
                <w:i w:val="0"/>
                <w:iCs w:val="0"/>
                <w:smallCaps w:val="0"/>
                <w:color w:val="000000"/>
                <w:sz w:val="21"/>
                <w:szCs w:val="21"/>
              </w:rPr>
              <w:t>年</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4CBF733">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2017</w:t>
            </w:r>
            <w:r>
              <w:rPr>
                <w:rFonts w:ascii="楷体" w:hAnsi="楷体" w:eastAsia="楷体" w:cs="楷体"/>
                <w:b w:val="0"/>
                <w:bCs w:val="0"/>
                <w:i w:val="0"/>
                <w:iCs w:val="0"/>
                <w:smallCaps w:val="0"/>
                <w:color w:val="000000"/>
                <w:sz w:val="21"/>
                <w:szCs w:val="21"/>
              </w:rPr>
              <w:t>年</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12ED37EB">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2021</w:t>
            </w:r>
            <w:r>
              <w:rPr>
                <w:rFonts w:ascii="楷体" w:hAnsi="楷体" w:eastAsia="楷体" w:cs="楷体"/>
                <w:b w:val="0"/>
                <w:bCs w:val="0"/>
                <w:i w:val="0"/>
                <w:iCs w:val="0"/>
                <w:smallCaps w:val="0"/>
                <w:color w:val="000000"/>
                <w:sz w:val="21"/>
                <w:szCs w:val="21"/>
              </w:rPr>
              <w:t>年</w:t>
            </w:r>
          </w:p>
        </w:tc>
      </w:tr>
      <w:tr w14:paraId="134CF6A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23C830D9">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国内生产总值（亿元）</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D3BD74B">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3678.7</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4AEB40A2">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18872.9</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5A9CA6D6">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100280.1</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09F101F7">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832035</w:t>
            </w:r>
            <w:r>
              <w:rPr>
                <w:b w:val="0"/>
                <w:bCs w:val="0"/>
                <w:i w:val="0"/>
                <w:iCs w:val="0"/>
                <w:smallCaps w:val="0"/>
                <w:strike w:val="0"/>
                <w:color w:val="000000"/>
                <w:sz w:val="21"/>
                <w:szCs w:val="21"/>
                <w:u w:val="none"/>
              </w:rPr>
              <w:drawing>
                <wp:inline distT="0" distB="0" distL="114300" distR="114300">
                  <wp:extent cx="38100" cy="9525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7"/>
                          <a:stretch>
                            <a:fillRect/>
                          </a:stretch>
                        </pic:blipFill>
                        <pic:spPr>
                          <a:xfrm>
                            <a:off x="0" y="0"/>
                            <a:ext cx="38100" cy="95250"/>
                          </a:xfrm>
                          <a:prstGeom prst="rect">
                            <a:avLst/>
                          </a:prstGeom>
                        </pic:spPr>
                      </pic:pic>
                    </a:graphicData>
                  </a:graphic>
                </wp:inline>
              </w:drawing>
            </w:r>
            <w:r>
              <w:rPr>
                <w:b w:val="0"/>
                <w:bCs w:val="0"/>
                <w:i w:val="0"/>
                <w:iCs w:val="0"/>
                <w:smallCaps w:val="0"/>
                <w:color w:val="000000"/>
                <w:sz w:val="21"/>
                <w:szCs w:val="21"/>
              </w:rPr>
              <w:t>9</w:t>
            </w:r>
          </w:p>
        </w:tc>
        <w:tc>
          <w:tcPr>
            <w:tcBorders>
              <w:top w:val="single" w:color="000000" w:sz="6" w:space="0"/>
              <w:left w:val="single" w:color="000000" w:sz="6" w:space="0"/>
            </w:tcBorders>
            <w:noWrap w:val="0"/>
            <w:tcMar>
              <w:top w:w="76" w:type="dxa"/>
              <w:left w:w="120" w:type="dxa"/>
              <w:bottom w:w="76" w:type="dxa"/>
              <w:right w:w="120" w:type="dxa"/>
            </w:tcMar>
            <w:vAlign w:val="center"/>
          </w:tcPr>
          <w:p w14:paraId="06A8F8E6">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1143669.7</w:t>
            </w:r>
          </w:p>
        </w:tc>
      </w:tr>
    </w:tbl>
    <w:p w14:paraId="44F1C89E">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57" name="图片 100057"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page number 3"/>
                    <pic:cNvPicPr>
                      <a:picLocks noChangeAspect="1"/>
                    </pic:cNvPicPr>
                  </pic:nvPicPr>
                  <pic:blipFill>
                    <a:blip r:embed="rId15"/>
                    <a:stretch>
                      <a:fillRect/>
                    </a:stretch>
                  </pic:blipFill>
                  <pic:spPr>
                    <a:xfrm>
                      <a:off x="0" y="0"/>
                      <a:ext cx="28575" cy="28575"/>
                    </a:xfrm>
                    <a:prstGeom prst="rect">
                      <a:avLst/>
                    </a:prstGeom>
                  </pic:spPr>
                </pic:pic>
              </a:graphicData>
            </a:graphic>
          </wp:inline>
        </w:drawing>
      </w:r>
    </w:p>
    <w:p w14:paraId="7E13EBBC">
      <w:pPr>
        <w:sectPr>
          <w:headerReference r:id="rId11" w:type="default"/>
          <w:type w:val="continuous"/>
          <w:pgSz w:w="11927" w:h="16875"/>
          <w:pgMar w:top="800" w:right="1120" w:bottom="540" w:left="1120" w:header="708" w:footer="708" w:gutter="0"/>
          <w:cols w:space="708" w:num="1"/>
          <w:docGrid w:linePitch="360" w:charSpace="0"/>
        </w:sectPr>
      </w:pP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180"/>
        <w:gridCol w:w="713"/>
        <w:gridCol w:w="818"/>
        <w:gridCol w:w="818"/>
        <w:gridCol w:w="923"/>
        <w:gridCol w:w="923"/>
      </w:tblGrid>
      <w:tr w14:paraId="7F2A72F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6C61B8E3">
            <w:pPr>
              <w:widowControl w:val="0"/>
              <w:spacing w:before="0" w:after="0" w:line="360" w:lineRule="auto"/>
              <w:jc w:val="center"/>
              <w:rPr>
                <w:b w:val="0"/>
                <w:bCs w:val="0"/>
                <w:i w:val="0"/>
                <w:iCs w:val="0"/>
                <w:smallCaps w:val="0"/>
                <w:color w:val="000000"/>
                <w:sz w:val="21"/>
                <w:szCs w:val="21"/>
              </w:rPr>
            </w:pPr>
            <w:bookmarkStart w:id="0" w:name="_GoBack"/>
            <w:bookmarkEnd w:id="0"/>
            <w:r>
              <w:rPr>
                <w:rFonts w:ascii="楷体" w:hAnsi="楷体" w:eastAsia="楷体" w:cs="楷体"/>
                <w:b w:val="0"/>
                <w:bCs w:val="0"/>
                <w:i w:val="0"/>
                <w:iCs w:val="0"/>
                <w:smallCaps w:val="0"/>
                <w:color w:val="000000"/>
                <w:sz w:val="21"/>
                <w:szCs w:val="21"/>
              </w:rPr>
              <w:t>城镇居民人均可支配收入（元）</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2AEB6A6">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343.4</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54D323B">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1510.2</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2BAE559">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6255.7</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8F710AE">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36396.2</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39E29898">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47411.9</w:t>
            </w:r>
          </w:p>
        </w:tc>
      </w:tr>
      <w:tr w14:paraId="3DA7679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35C2DC2C">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乡村居民人均可支配收入（元）</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1F0796C9">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133.6</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8927956">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686</w:t>
            </w:r>
            <w:r>
              <w:rPr>
                <w:b w:val="0"/>
                <w:bCs w:val="0"/>
                <w:i w:val="0"/>
                <w:iCs w:val="0"/>
                <w:smallCaps w:val="0"/>
                <w:strike w:val="0"/>
                <w:color w:val="000000"/>
                <w:sz w:val="21"/>
                <w:szCs w:val="21"/>
                <w:u w:val="none"/>
              </w:rPr>
              <w:drawing>
                <wp:inline distT="0" distB="0" distL="114300" distR="114300">
                  <wp:extent cx="38100" cy="9525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7"/>
                          <a:stretch>
                            <a:fillRect/>
                          </a:stretch>
                        </pic:blipFill>
                        <pic:spPr>
                          <a:xfrm>
                            <a:off x="0" y="0"/>
                            <a:ext cx="38100" cy="95250"/>
                          </a:xfrm>
                          <a:prstGeom prst="rect">
                            <a:avLst/>
                          </a:prstGeom>
                        </pic:spPr>
                      </pic:pic>
                    </a:graphicData>
                  </a:graphic>
                </wp:inline>
              </w:drawing>
            </w:r>
            <w:r>
              <w:rPr>
                <w:b w:val="0"/>
                <w:bCs w:val="0"/>
                <w:i w:val="0"/>
                <w:iCs w:val="0"/>
                <w:smallCaps w:val="0"/>
                <w:color w:val="000000"/>
                <w:sz w:val="21"/>
                <w:szCs w:val="21"/>
              </w:rPr>
              <w:t>3</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5EBD3692">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2282.1</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429EDC0C">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13432.4</w:t>
            </w:r>
          </w:p>
        </w:tc>
        <w:tc>
          <w:tcPr>
            <w:tcBorders>
              <w:top w:val="single" w:color="000000" w:sz="6" w:space="0"/>
              <w:left w:val="single" w:color="000000" w:sz="6" w:space="0"/>
            </w:tcBorders>
            <w:noWrap w:val="0"/>
            <w:tcMar>
              <w:top w:w="76" w:type="dxa"/>
              <w:left w:w="120" w:type="dxa"/>
              <w:bottom w:w="76" w:type="dxa"/>
              <w:right w:w="120" w:type="dxa"/>
            </w:tcMar>
            <w:vAlign w:val="center"/>
          </w:tcPr>
          <w:p w14:paraId="32E4DCA9">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18930.9</w:t>
            </w:r>
          </w:p>
        </w:tc>
      </w:tr>
    </w:tbl>
    <w:p w14:paraId="561DA039">
      <w:pPr>
        <w:widowControl w:val="0"/>
        <w:spacing w:before="0" w:after="0" w:line="360" w:lineRule="auto"/>
        <w:jc w:val="right"/>
        <w:rPr>
          <w:sz w:val="21"/>
          <w:szCs w:val="21"/>
        </w:rPr>
      </w:pPr>
      <w:r>
        <w:rPr>
          <w:rFonts w:ascii="楷体" w:hAnsi="楷体" w:eastAsia="楷体" w:cs="楷体"/>
          <w:sz w:val="21"/>
          <w:szCs w:val="21"/>
        </w:rPr>
        <w:t>——摘编自国家统计局</w:t>
      </w:r>
    </w:p>
    <w:p w14:paraId="3E7F0934">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）根据材料三，概括</w:t>
      </w:r>
      <w:r>
        <w:rPr>
          <w:sz w:val="21"/>
          <w:szCs w:val="21"/>
        </w:rPr>
        <w:t>1978</w:t>
      </w:r>
      <w:r>
        <w:rPr>
          <w:rFonts w:ascii="宋体" w:hAnsi="宋体" w:eastAsia="宋体" w:cs="宋体"/>
          <w:sz w:val="21"/>
          <w:szCs w:val="21"/>
        </w:rPr>
        <w:t>—</w:t>
      </w:r>
      <w:r>
        <w:rPr>
          <w:sz w:val="21"/>
          <w:szCs w:val="21"/>
        </w:rPr>
        <w:t>2021</w:t>
      </w:r>
      <w:r>
        <w:rPr>
          <w:rFonts w:ascii="宋体" w:hAnsi="宋体" w:eastAsia="宋体" w:cs="宋体"/>
          <w:sz w:val="21"/>
          <w:szCs w:val="21"/>
        </w:rPr>
        <w:t>年取得</w:t>
      </w:r>
      <w:r>
        <w:rPr>
          <w:strike w:val="0"/>
          <w:sz w:val="21"/>
          <w:szCs w:val="21"/>
          <w:u w:val="none"/>
        </w:rPr>
        <w:drawing>
          <wp:inline distT="0" distB="0" distL="114300" distR="114300">
            <wp:extent cx="133350" cy="180975"/>
            <wp:effectExtent l="0" t="0" r="0" b="889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8"/>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经济成就。结合所学知识，分析取得这些成就的主要原因。</w:t>
      </w:r>
    </w:p>
    <w:p w14:paraId="4EAE1504">
      <w:pPr>
        <w:widowControl w:val="0"/>
        <w:spacing w:before="0" w:after="0" w:line="360" w:lineRule="auto"/>
        <w:rPr>
          <w:sz w:val="21"/>
          <w:szCs w:val="21"/>
        </w:rPr>
      </w:pPr>
      <w:r>
        <w:rPr>
          <w:sz w:val="21"/>
          <w:szCs w:val="21"/>
        </w:rPr>
        <w:t xml:space="preserve">15. </w:t>
      </w:r>
      <w:r>
        <w:rPr>
          <w:rFonts w:ascii="宋体" w:hAnsi="宋体" w:eastAsia="宋体" w:cs="宋体"/>
          <w:sz w:val="21"/>
          <w:szCs w:val="21"/>
        </w:rPr>
        <w:t>阅读材料，完成下列要求。</w:t>
      </w:r>
    </w:p>
    <w:p w14:paraId="5A19A7ED">
      <w:pPr>
        <w:widowControl w:val="0"/>
        <w:spacing w:before="0" w:after="0" w:line="360" w:lineRule="auto"/>
        <w:ind w:firstLine="420"/>
        <w:rPr>
          <w:sz w:val="21"/>
          <w:szCs w:val="21"/>
        </w:rPr>
      </w:pPr>
      <w:r>
        <w:rPr>
          <w:rFonts w:ascii="楷体" w:hAnsi="楷体" w:eastAsia="楷体" w:cs="楷体"/>
          <w:sz w:val="21"/>
          <w:szCs w:val="21"/>
        </w:rPr>
        <w:t>材料一</w:t>
      </w:r>
      <w:r>
        <w:rPr>
          <w:sz w:val="21"/>
          <w:szCs w:val="21"/>
        </w:rPr>
        <w:t xml:space="preserve">  </w:t>
      </w:r>
      <w:r>
        <w:rPr>
          <w:rFonts w:ascii="楷体" w:hAnsi="楷体" w:eastAsia="楷体" w:cs="楷体"/>
          <w:sz w:val="21"/>
          <w:szCs w:val="21"/>
        </w:rPr>
        <w:t>不同时期世界殖民地占全球陆地（南极洲除外）面积的比例（</w:t>
      </w:r>
      <w:r>
        <w:rPr>
          <w:sz w:val="21"/>
          <w:szCs w:val="21"/>
        </w:rPr>
        <w:t>%</w:t>
      </w:r>
      <w:r>
        <w:rPr>
          <w:rFonts w:ascii="楷体" w:hAnsi="楷体" w:eastAsia="楷体" w:cs="楷体"/>
          <w:sz w:val="21"/>
          <w:szCs w:val="21"/>
        </w:rPr>
        <w:t>）变化图</w:t>
      </w:r>
    </w:p>
    <w:p w14:paraId="60334132">
      <w:pPr>
        <w:widowControl w:val="0"/>
        <w:spacing w:before="0" w:after="0" w:line="360" w:lineRule="auto"/>
        <w:rPr>
          <w:sz w:val="21"/>
          <w:szCs w:val="21"/>
        </w:rPr>
      </w:pPr>
      <w:r>
        <w:rPr>
          <w:strike w:val="0"/>
          <w:sz w:val="21"/>
          <w:szCs w:val="21"/>
          <w:u w:val="none"/>
        </w:rPr>
        <w:drawing>
          <wp:inline distT="0" distB="0" distL="114300" distR="114300">
            <wp:extent cx="4857750" cy="20002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57750" cy="2000250"/>
                    </a:xfrm>
                    <a:prstGeom prst="rect">
                      <a:avLst/>
                    </a:prstGeom>
                  </pic:spPr>
                </pic:pic>
              </a:graphicData>
            </a:graphic>
          </wp:inline>
        </w:drawing>
      </w:r>
    </w:p>
    <w:p w14:paraId="5D5E7A87">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）根据材料一，指出世界殖民体系在全球发展最快</w:t>
      </w:r>
      <w:r>
        <w:rPr>
          <w:strike w:val="0"/>
          <w:sz w:val="21"/>
          <w:szCs w:val="21"/>
          <w:u w:val="none"/>
        </w:rPr>
        <w:drawing>
          <wp:inline distT="0" distB="0" distL="114300" distR="114300">
            <wp:extent cx="133350" cy="180975"/>
            <wp:effectExtent l="0" t="0" r="0" b="889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18"/>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时期（用序号表示），并结合所学知识，分析该时期发展最快的原因。</w:t>
      </w:r>
    </w:p>
    <w:p w14:paraId="6D2A51A5">
      <w:pPr>
        <w:widowControl w:val="0"/>
        <w:spacing w:before="0" w:after="0" w:line="360" w:lineRule="auto"/>
        <w:ind w:firstLine="420"/>
        <w:rPr>
          <w:sz w:val="21"/>
          <w:szCs w:val="21"/>
        </w:rPr>
      </w:pPr>
      <w:r>
        <w:rPr>
          <w:rFonts w:ascii="楷体" w:hAnsi="楷体" w:eastAsia="楷体" w:cs="楷体"/>
          <w:sz w:val="21"/>
          <w:szCs w:val="21"/>
        </w:rPr>
        <w:t>材料二</w:t>
      </w:r>
      <w:r>
        <w:rPr>
          <w:sz w:val="21"/>
          <w:szCs w:val="21"/>
        </w:rPr>
        <w:t xml:space="preserve">  </w:t>
      </w:r>
      <w:r>
        <w:rPr>
          <w:rFonts w:ascii="楷体" w:hAnsi="楷体" w:eastAsia="楷体" w:cs="楷体"/>
          <w:sz w:val="21"/>
          <w:szCs w:val="21"/>
        </w:rPr>
        <w:t>第一次世界大战削弱了英国和法国等主要殖民列强的实力和威望，第二次世界大战结束时，这些国家已筋疲力尽。</w:t>
      </w:r>
      <w:r>
        <w:rPr>
          <w:sz w:val="21"/>
          <w:szCs w:val="21"/>
        </w:rPr>
        <w:t>1945</w:t>
      </w:r>
      <w:r>
        <w:rPr>
          <w:rFonts w:ascii="楷体" w:hAnsi="楷体" w:eastAsia="楷体" w:cs="楷体"/>
          <w:sz w:val="21"/>
          <w:szCs w:val="21"/>
        </w:rPr>
        <w:t>年以后的几十年里，殖民地人民为赢得独立进行了艰苦卓绝的奋斗，亚非拉人民相互支持，到</w:t>
      </w:r>
      <w:r>
        <w:rPr>
          <w:sz w:val="21"/>
          <w:szCs w:val="21"/>
        </w:rPr>
        <w:t>1990</w:t>
      </w:r>
      <w:r>
        <w:rPr>
          <w:rFonts w:ascii="楷体" w:hAnsi="楷体" w:eastAsia="楷体" w:cs="楷体"/>
          <w:sz w:val="21"/>
          <w:szCs w:val="21"/>
        </w:rPr>
        <w:t>年，民族主义运动已经横扫了殖民统治。</w:t>
      </w:r>
    </w:p>
    <w:p w14:paraId="431786BF">
      <w:pPr>
        <w:widowControl w:val="0"/>
        <w:spacing w:before="0" w:after="0" w:line="360" w:lineRule="auto"/>
        <w:jc w:val="right"/>
        <w:rPr>
          <w:sz w:val="21"/>
          <w:szCs w:val="21"/>
        </w:rPr>
      </w:pPr>
      <w:r>
        <w:rPr>
          <w:rFonts w:ascii="楷体" w:hAnsi="楷体" w:eastAsia="楷体" w:cs="楷体"/>
          <w:sz w:val="21"/>
          <w:szCs w:val="21"/>
        </w:rPr>
        <w:t>——摘编自杰里·本特利《新全球史》</w:t>
      </w:r>
    </w:p>
    <w:p w14:paraId="3D86065E">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）根据材料二，概括</w:t>
      </w:r>
      <w:r>
        <w:rPr>
          <w:sz w:val="21"/>
          <w:szCs w:val="21"/>
        </w:rPr>
        <w:t>20</w:t>
      </w:r>
      <w:r>
        <w:rPr>
          <w:rFonts w:ascii="宋体" w:hAnsi="宋体" w:eastAsia="宋体" w:cs="宋体"/>
          <w:sz w:val="21"/>
          <w:szCs w:val="21"/>
        </w:rPr>
        <w:t>世纪以来世界殖民体系逐渐瓦解</w:t>
      </w:r>
      <w:r>
        <w:rPr>
          <w:strike w:val="0"/>
          <w:sz w:val="21"/>
          <w:szCs w:val="21"/>
          <w:u w:val="none"/>
        </w:rPr>
        <w:drawing>
          <wp:inline distT="0" distB="0" distL="114300" distR="114300">
            <wp:extent cx="133350" cy="180975"/>
            <wp:effectExtent l="0" t="0" r="0" b="8890"/>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8"/>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原因。</w:t>
      </w:r>
    </w:p>
    <w:p w14:paraId="21FCD0F0">
      <w:pPr>
        <w:widowControl w:val="0"/>
        <w:spacing w:before="0" w:after="0" w:line="360" w:lineRule="auto"/>
        <w:ind w:firstLine="420"/>
        <w:rPr>
          <w:sz w:val="21"/>
          <w:szCs w:val="21"/>
        </w:rPr>
      </w:pPr>
      <w:r>
        <w:rPr>
          <w:rFonts w:ascii="楷体" w:hAnsi="楷体" w:eastAsia="楷体" w:cs="楷体"/>
          <w:sz w:val="21"/>
          <w:szCs w:val="21"/>
        </w:rPr>
        <w:t>材料三</w:t>
      </w:r>
      <w:r>
        <w:rPr>
          <w:sz w:val="21"/>
          <w:szCs w:val="21"/>
        </w:rPr>
        <w:t xml:space="preserve">  </w:t>
      </w:r>
      <w:r>
        <w:rPr>
          <w:rFonts w:ascii="楷体" w:hAnsi="楷体" w:eastAsia="楷体" w:cs="楷体"/>
          <w:sz w:val="21"/>
          <w:szCs w:val="21"/>
        </w:rPr>
        <w:t>亚非拉民族民主运动是</w:t>
      </w:r>
      <w:r>
        <w:rPr>
          <w:sz w:val="21"/>
          <w:szCs w:val="21"/>
        </w:rPr>
        <w:t>20</w:t>
      </w:r>
      <w:r>
        <w:rPr>
          <w:rFonts w:ascii="楷体" w:hAnsi="楷体" w:eastAsia="楷体" w:cs="楷体"/>
          <w:sz w:val="21"/>
          <w:szCs w:val="21"/>
        </w:rPr>
        <w:t>世纪的历史潮流。这一历史潮流一浪高过一浪，殖民主义体系的堤坝一块块塌落，新兴民族国家纷纷建立。这保障了一些新兴民族国家的经济发展，其经济增速远超同时期的发达资本主义国家。</w:t>
      </w:r>
    </w:p>
    <w:p w14:paraId="5FD0345F">
      <w:pPr>
        <w:widowControl w:val="0"/>
        <w:spacing w:before="0" w:after="0" w:line="360" w:lineRule="auto"/>
        <w:jc w:val="right"/>
        <w:rPr>
          <w:sz w:val="21"/>
          <w:szCs w:val="21"/>
        </w:rPr>
      </w:pPr>
      <w:r>
        <w:rPr>
          <w:rFonts w:ascii="楷体" w:hAnsi="楷体" w:eastAsia="楷体" w:cs="楷体"/>
          <w:sz w:val="21"/>
          <w:szCs w:val="21"/>
        </w:rPr>
        <w:t>——摘编自吴于廑、齐世荣《世界史·现代史编》</w:t>
      </w:r>
    </w:p>
    <w:p w14:paraId="465E3CF9">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）根据材料三，分析亚非拉民族民主运动的影响。</w:t>
      </w:r>
    </w:p>
    <w:p w14:paraId="41C9A50A">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）当今西方发达国家利用其经济优势进行经济、文化等侵略，企图把已取得政治独立的亚非拉发展中国家置于他们的控制之下。请你为广大亚非拉国家如何应对提出一条合理化建议。</w:t>
      </w:r>
    </w:p>
    <w:p w14:paraId="48E60270">
      <w:pPr>
        <w:widowControl w:val="0"/>
        <w:spacing w:before="0" w:after="0" w:line="286" w:lineRule="auto"/>
        <w:rPr>
          <w:sz w:val="21"/>
          <w:szCs w:val="21"/>
        </w:rPr>
      </w:pPr>
    </w:p>
    <w:p w14:paraId="75C121A5">
      <w:pPr>
        <w:widowControl w:val="0"/>
        <w:spacing w:before="0" w:after="0" w:line="360" w:lineRule="auto"/>
        <w:jc w:val="both"/>
        <w:rPr>
          <w:sz w:val="21"/>
          <w:szCs w:val="21"/>
        </w:rPr>
      </w:pPr>
      <w:r>
        <w:rPr>
          <w:strike w:val="0"/>
          <w:sz w:val="21"/>
          <w:szCs w:val="21"/>
          <w:u w:val="none"/>
        </w:rPr>
        <w:drawing>
          <wp:inline distT="0" distB="0" distL="114300" distR="114300">
            <wp:extent cx="28575" cy="28575"/>
            <wp:effectExtent l="0" t="0" r="0" b="0"/>
            <wp:docPr id="100081" name="图片 100081"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page number 4"/>
                    <pic:cNvPicPr>
                      <a:picLocks noChangeAspect="1"/>
                    </pic:cNvPicPr>
                  </pic:nvPicPr>
                  <pic:blipFill>
                    <a:blip r:embed="rId15"/>
                    <a:stretch>
                      <a:fillRect/>
                    </a:stretch>
                  </pic:blipFill>
                  <pic:spPr>
                    <a:xfrm>
                      <a:off x="0" y="0"/>
                      <a:ext cx="28575" cy="28575"/>
                    </a:xfrm>
                    <a:prstGeom prst="rect">
                      <a:avLst/>
                    </a:prstGeom>
                  </pic:spPr>
                </pic:pic>
              </a:graphicData>
            </a:graphic>
          </wp:inline>
        </w:drawing>
      </w:r>
    </w:p>
    <w:p w14:paraId="08777DBA"/>
    <w:sectPr>
      <w:headerReference r:id="rId12"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892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B523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144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8DC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22426">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C9AC8">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33BB6">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E7AF1">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444B2">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4F922004"/>
    <w:rsid w:val="56F50DD2"/>
    <w:rsid w:val="7F3253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5</Pages>
  <Words>3429</Words>
  <Characters>3750</Characters>
  <Lines>1</Lines>
  <Paragraphs>1</Paragraphs>
  <TotalTime>0</TotalTime>
  <ScaleCrop>false</ScaleCrop>
  <LinksUpToDate>false</LinksUpToDate>
  <CharactersWithSpaces>3895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2024-06-23T15:11:00Z</dcterms:created>
  <dc:creator>Administrator</dc:creator>
  <cp:lastModifiedBy>上帝掷骰子吗</cp:lastModifiedBy>
  <dcterms:modified xsi:type="dcterms:W3CDTF">2026-02-09T06:12:14Z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ED811BBA51EB4C42B5DCF1370B052600_12</vt:lpwstr>
  </property>
  <property fmtid="{D5CDD505-2E9C-101B-9397-08002B2CF9AE}" pid="4" name="KSOTemplateDocerSaveRecord">
    <vt:lpwstr>eyJoZGlkIjoiMjljNjk0N2RhMTc0NzI3ZTQwZWEyZWMyMzA2NzliMDQiLCJ1c2VySWQiOiI3ODUwOTA2ODcifQ==</vt:lpwstr>
  </property>
</Properties>
</file>