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8F2C7B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12382500</wp:posOffset>
            </wp:positionH>
            <wp:positionV relativeFrom="topMargin">
              <wp:posOffset>11087100</wp:posOffset>
            </wp:positionV>
            <wp:extent cx="254000" cy="419100"/>
            <wp:effectExtent l="0" t="0" r="12700" b="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11176000</wp:posOffset>
            </wp:positionH>
            <wp:positionV relativeFrom="topMargin">
              <wp:posOffset>10655300</wp:posOffset>
            </wp:positionV>
            <wp:extent cx="482600" cy="495300"/>
            <wp:effectExtent l="0" t="0" r="12700" b="0"/>
            <wp:wrapNone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2026年安徽省初中学业水平考试</w:t>
      </w:r>
    </w:p>
    <w:p w14:paraId="59F61559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历史（开卷）试题卷</w:t>
      </w:r>
    </w:p>
    <w:p w14:paraId="71F3875F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143382A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1．历史试卷满分70分，历史、道德与法治的考试时间共120分钟。</w:t>
      </w:r>
    </w:p>
    <w:p w14:paraId="59395541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2．本试卷包括“试题卷”和“答题卷”两部分，“试题卷”共4页，“答题卷”共2页。请务必在“</w:t>
      </w:r>
      <w:r>
        <w:rPr>
          <w:rFonts w:ascii="宋体" w:hAnsi="宋体" w:eastAsia="宋体" w:cs="宋体"/>
          <w:b/>
          <w:color w:val="auto"/>
          <w:sz w:val="24"/>
          <w:em w:val="dot"/>
          <w:lang w:eastAsia="zh-CN"/>
        </w:rPr>
        <w:t>答题卷</w:t>
      </w:r>
      <w:r>
        <w:rPr>
          <w:rFonts w:ascii="宋体" w:hAnsi="宋体" w:eastAsia="宋体" w:cs="宋体"/>
          <w:b/>
          <w:color w:val="auto"/>
          <w:sz w:val="24"/>
        </w:rPr>
        <w:t>”上答题，在“试题卷”上答题无效。</w:t>
      </w:r>
    </w:p>
    <w:p w14:paraId="6595A00F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3．答题过程中可以参考教科书及其他资料。请独立思考，诚信答题。</w:t>
      </w:r>
    </w:p>
    <w:p w14:paraId="28F769C6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4．考试结束后，请将“试题卷”和“答题卷”一并交回。</w:t>
      </w:r>
    </w:p>
    <w:p w14:paraId="414C5CFB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一、单项选择（本大题共15小题，每小题2分，共30分）</w:t>
      </w:r>
    </w:p>
    <w:p w14:paraId="30DC286F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下图所示玉龙出土于距今约5500年的安徽凌家滩遗址，其器身扁平，首尾相连，身上阴刻交错线似鳞状。该玉龙属于（   ）</w:t>
      </w:r>
    </w:p>
    <w:p w14:paraId="746378A6">
      <w:pPr>
        <w:spacing w:line="360" w:lineRule="auto"/>
        <w:jc w:val="both"/>
        <w:textAlignment w:val="center"/>
      </w:pPr>
      <w:r>
        <w:drawing>
          <wp:inline distT="0" distB="0" distL="114300" distR="114300">
            <wp:extent cx="1704975" cy="16668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DA3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文献史料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音像史料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实物史料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口述史料</w:t>
      </w:r>
    </w:p>
    <w:p w14:paraId="630FDB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秦汉时期，政府建立邮驿系统以保证政令通达，同时通过法律对邮书类别划分、邮递速度、交接手续、封检等加以规范。这（   ）</w:t>
      </w:r>
    </w:p>
    <w:p w14:paraId="40A8BA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统一了全国文字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推广了行省制度</w:t>
      </w:r>
    </w:p>
    <w:p w14:paraId="11B23B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禁锢了思想文化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提高了行政效率</w:t>
      </w:r>
    </w:p>
    <w:p w14:paraId="5094C4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下图是北宋纸币铜版拓片。从中不仅可以了解当时货币流通状况，还可以获取的历史信息是（   ）</w:t>
      </w:r>
    </w:p>
    <w:p w14:paraId="6D0178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1334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25A1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商标广告开始出现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印刷技术发展情况</w:t>
      </w:r>
    </w:p>
    <w:p w14:paraId="1C5718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马铃薯已广泛种植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经济重心南移完成</w:t>
      </w:r>
    </w:p>
    <w:p w14:paraId="2E3593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明清时期，徽商好儒，强调“财自道生，利缘义取”；晋商不为应举求仕而读书的越来越多，《中庸》《大学》成为许多商号店员修身的读本，“和为贵”成为晋商立身行事的规范。据此可知，当时（   ）</w:t>
      </w:r>
    </w:p>
    <w:p w14:paraId="47C936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儒家思想影响商业精神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商人地位发生根本改变</w:t>
      </w:r>
    </w:p>
    <w:p w14:paraId="3C2C45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八股取士激励商人读书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工商业发展趋向于衰落</w:t>
      </w:r>
    </w:p>
    <w:p w14:paraId="21B9F7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20世纪初，中国最早的钢铁联合企业汉冶萍公司钢轨生产量逐年提高，销售量超过进口钢轨，成为中国铁路钢轨的最大供应商。这可以佐证，该时期中国工业（   ）</w:t>
      </w:r>
    </w:p>
    <w:p w14:paraId="7C9053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技术领先于世界</w:t>
      </w:r>
    </w:p>
    <w:p w14:paraId="211646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助力洋务运动实现自强目标</w:t>
      </w:r>
    </w:p>
    <w:p w14:paraId="4AFDD6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以重工业为主导</w:t>
      </w:r>
    </w:p>
    <w:p w14:paraId="69BCEB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一定程度抵制列强经济侵略</w:t>
      </w:r>
    </w:p>
    <w:p w14:paraId="3C1F7C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1918年，李大钊任北京大学图书馆主任后，特别注意扩充有关民族解放和介绍马克思列宁主义的书籍。这一举措（   ）</w:t>
      </w:r>
    </w:p>
    <w:p w14:paraId="781E1F5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开创了近代新式教育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揭开了新文化运动序幕</w:t>
      </w:r>
    </w:p>
    <w:p w14:paraId="66A3FF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推动了维新运动发展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体现了救亡图存新探索</w:t>
      </w:r>
    </w:p>
    <w:p w14:paraId="02EFA0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1934年12月，中国共产党发布指示，要求各部队向战士详细解释，最近我军经过之地“山田牛少，居民视牛如命，绝不应杀牛。土豪牛要发给群众，严厉处罚乱杀牛者”。这可用于说明（   ）</w:t>
      </w:r>
    </w:p>
    <w:p w14:paraId="5B8790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北伐战争的目标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长征胜利的原因</w:t>
      </w:r>
    </w:p>
    <w:p w14:paraId="34C3B6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土地改革的成效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解放战争的影响</w:t>
      </w:r>
    </w:p>
    <w:p w14:paraId="296DD1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下图是1938年7月26日发表在《新华日报》上的一幅漫画。该漫画旨在（   ）</w:t>
      </w:r>
    </w:p>
    <w:p w14:paraId="41ED40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8192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8E4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宣传国共两党合作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说明国际援助的必要性</w:t>
      </w:r>
    </w:p>
    <w:p w14:paraId="246969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揭示日军滔天罪行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强调动员群众的重要性</w:t>
      </w:r>
    </w:p>
    <w:p w14:paraId="4419BD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1951年11月开始，中华全国体育总会筹委会等部门先后公布一系列广播体操。此后，中央人民广播电台每天都会定时播放广播体操旋律，全国掀起了广播体操运动的热潮。这反映出（   ）</w:t>
      </w:r>
    </w:p>
    <w:p w14:paraId="4B81DF9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“双百”方针的贯彻落实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社会主义基本制度建立</w:t>
      </w:r>
    </w:p>
    <w:p w14:paraId="261D59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蓬勃向上的时代风貌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党和国家工作中心转移</w:t>
      </w:r>
    </w:p>
    <w:p w14:paraId="5AC51B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1987年，无锡的乡办、村办电子工业企业由1983年的121家迅速发展到281家，总产值由1983年的5726万元增长到3.19亿元。这得益于（   ）</w:t>
      </w:r>
    </w:p>
    <w:p w14:paraId="69FCBE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经济体制改革推进</w:t>
      </w:r>
    </w:p>
    <w:p w14:paraId="412943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计算机与互联网技术普及</w:t>
      </w:r>
    </w:p>
    <w:p w14:paraId="3DF3DC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公私合营经济出现</w:t>
      </w:r>
    </w:p>
    <w:p w14:paraId="5468DE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全方位对外开放格局形成</w:t>
      </w:r>
    </w:p>
    <w:p w14:paraId="7C8F74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亚历山大在埃及兴建亚历山大城，全城分为5个区，以希腊字母头5个字母命名。后来，亚历山大城成为公元前数百年地中海世界政治、经济和文化的中心。据此可知，亚历山大城（   ）</w:t>
      </w:r>
    </w:p>
    <w:p w14:paraId="29A6CB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是古希腊文明发源地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具有多元文化交汇特征</w:t>
      </w:r>
    </w:p>
    <w:p w14:paraId="5C6B06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成为古罗马帝国都城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已经产生资本主义萌芽</w:t>
      </w:r>
    </w:p>
    <w:p w14:paraId="3EBC8D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15世纪前后，意大利一批学者</w:t>
      </w:r>
      <w:r>
        <w:rPr>
          <w:color w:val="000000"/>
        </w:rPr>
        <w:t>推崇</w:t>
      </w:r>
      <w:r>
        <w:rPr>
          <w:rFonts w:ascii="宋体" w:hAnsi="宋体" w:eastAsia="宋体" w:cs="宋体"/>
          <w:color w:val="000000"/>
        </w:rPr>
        <w:t>知识和学问，视无知为可耻，鼓励人们用自己的眼睛观察自然和社会，进行深入的探究和思考。这些学者的主张（   ）</w:t>
      </w:r>
    </w:p>
    <w:p w14:paraId="09A1BC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蕴含着人文主义精神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源于资产阶级革命实践</w:t>
      </w:r>
    </w:p>
    <w:p w14:paraId="0BBBBE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批判了欧洲古典文化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促进中世纪大学的出现</w:t>
      </w:r>
    </w:p>
    <w:p w14:paraId="7ECA8E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雅各宾派统治期间，法国不仅取消了世袭头衔，甚至连“先生”和“夫人”也被“公民”之类的称呼取代。此类措施（   ）</w:t>
      </w:r>
    </w:p>
    <w:p w14:paraId="6503ED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表达了人人平等的愿望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巩固了君主立宪制</w:t>
      </w:r>
    </w:p>
    <w:p w14:paraId="56026D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维护了封建贵族的利益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遵循了《拿破仑法典》</w:t>
      </w:r>
    </w:p>
    <w:p w14:paraId="659E8A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恩格斯在1844年写道：60年至80年前，英国城市很小，人口稀疏而且多半是农业人口，现在有居民达250万的首都，有许多巨大的城市。英国的变化主要是由于（   ）</w:t>
      </w:r>
    </w:p>
    <w:p w14:paraId="6BE01C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全球航路开辟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工业革命推动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垄断组织形成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“福利国家”建成</w:t>
      </w:r>
    </w:p>
    <w:p w14:paraId="2BE36F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1955年的万隆会议上，亚非国家提出世界各国应当在平等互利的基础上进行经济合作。1961年的第一次不结盟国家和政府首脑会议要求废止不平等的国际贸易。这表明发展中国家（   ）</w:t>
      </w:r>
    </w:p>
    <w:p w14:paraId="29531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积极参与世贸组织的活动</w:t>
      </w:r>
    </w:p>
    <w:p w14:paraId="1E3CB5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主动加强与联合国合作</w:t>
      </w:r>
    </w:p>
    <w:p w14:paraId="29B61B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谋求建立国际经济新秩序</w:t>
      </w:r>
    </w:p>
    <w:p w14:paraId="38C63F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民族民主意识开始觉醒</w:t>
      </w:r>
    </w:p>
    <w:p w14:paraId="52FB2A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二、辨析改错（6分）</w:t>
      </w:r>
    </w:p>
    <w:p w14:paraId="3DE0B7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科技改变生活。辨别下列科技成就解说的正误，在“答题卷”该题后的括号内正确的写“正确”；错误的写“错误”，并加以改正。</w:t>
      </w:r>
    </w:p>
    <w:p w14:paraId="77D8D0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三国时期吴国的马钧改进前代汲水工具，制成提水工具翻车。翻车既轻巧，又便于操作，是我国古代农业领域长期使用的一种灌溉工具。（   ）</w:t>
      </w:r>
    </w:p>
    <w:p w14:paraId="6CFE53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21812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FA7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2003年，航天员杨利伟乘坐神舟五号载人飞船升入太空，并成功返回地面。我国成为世界上第三个独立掌握载人航天技术的国家。（   ）</w:t>
      </w:r>
    </w:p>
    <w:p w14:paraId="050698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5621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7ED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神舟五号载人飞船成功着陆，杨利伟走出舱门</w:t>
      </w:r>
    </w:p>
    <w:p w14:paraId="5880C5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1825年，由爱迪生设计的蒸汽机车拖着车厢载着450名乘客正式试车，标志着铁路时代的开始。（   ）</w:t>
      </w:r>
    </w:p>
    <w:p w14:paraId="433B7C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47950" cy="15335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432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蒸汽机车</w:t>
      </w:r>
    </w:p>
    <w:p w14:paraId="0083B7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三、材料解析（本大题共2小题，第17题12分，第18题10分，共22分）</w:t>
      </w:r>
    </w:p>
    <w:p w14:paraId="43E572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42D9EB5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延安时期，中国共产党注重塑造劳动光荣观念。党报党刊阐述劳动能发家致富、为革命作贡献等理念，弘扬积极的劳动态度。1939年，中共中央召开生产动员大会，毛泽东发出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自己动手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的号召。在大生产运动中，吴满有、赵占魁等被边区政府评为特等劳动英雄。这些措施，帮助群众形成对劳动的价值认同，巩固和加强了抗战力量。</w:t>
      </w:r>
    </w:p>
    <w:p w14:paraId="622B78D1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——摘编自步平、王建朗主编《中国抗日战争史》等</w:t>
      </w:r>
    </w:p>
    <w:p w14:paraId="527963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根据材料一，概括延安时期中国共产党塑造劳动光荣观念的措施。</w:t>
      </w:r>
    </w:p>
    <w:p w14:paraId="46FEEAF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社会主义革命和建设时期，党领导广大劳动群众进行了国民经济的恢复工作，并开展了大规模的社会主义建设，取得了重大成就。在此过程中，党和国家提出并授予了劳动者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劳动模范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先进生产者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先进工作者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的荣誉称号，凸显了以工人阶级为代表的广大劳动群众新中国主人翁的地位。</w:t>
      </w:r>
    </w:p>
    <w:p w14:paraId="5E2C2E12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——摘编自詹宜、胡安全《新中国成立以来劳动者荣誉称号演变的历史考察》</w:t>
      </w:r>
    </w:p>
    <w:p w14:paraId="6186B1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根据材料二并结合所学知识，分析社会主义革命和建设时期授予劳动者荣誉称号的意义。</w:t>
      </w:r>
    </w:p>
    <w:p w14:paraId="39E0D1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综合上述材料，为当前的劳动教育撰写一则宣传标语。</w:t>
      </w:r>
    </w:p>
    <w:p w14:paraId="44D85E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785AF39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19世纪70年代德国统一后，工业出现跳跃式发展。德国抓住新技术革命的机会，发展起以电力、化学工业为核心的新兴工业，及时调整产业结构，加速了工业现代化进程，成为欧洲大陆最发达的国家。</w:t>
      </w:r>
    </w:p>
    <w:p w14:paraId="05CE50C7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——摘编自高德步主编《世界经济通史》</w:t>
      </w:r>
    </w:p>
    <w:p w14:paraId="3D8A90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根据材料一并结合所学知识，简析19世纪后期德国经济快速发展的原因。</w:t>
      </w:r>
    </w:p>
    <w:p w14:paraId="5865AE6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二战后，联邦德国通过对内改革和对外加强国际经济合作，走出一条独具特色的现代化道路。1951年后，联邦德国出现了连续16年的经济增长，被誉为“经济奇迹”。但是，经济高速增长并未消除联邦德国国内的贫富差距，尤其在80年代，失业率急剧上升，民众的不满情绪极大。</w:t>
      </w:r>
    </w:p>
    <w:p w14:paraId="44B62DBA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——摘编自孟钟捷《德国简史》</w:t>
      </w:r>
    </w:p>
    <w:p w14:paraId="449486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根据材料二，指出二战后联邦德国经济建设的成就和存在的问题。综合上述材料，谈谈你对现代化建设的认识。</w:t>
      </w:r>
    </w:p>
    <w:p w14:paraId="1DE317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四、活动与探究（12分）</w:t>
      </w:r>
    </w:p>
    <w:p w14:paraId="6F5C24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在“书香校园”活动中，学校历史社团开展《隋唐五代史》一书的阅读分享活动。请你参与，完成任务。</w:t>
      </w:r>
    </w:p>
    <w:p w14:paraId="4C923C0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tbl>
      <w:tblPr>
        <w:tblStyle w:val="4"/>
        <w:tblW w:w="42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260"/>
      </w:tblGrid>
      <w:tr w14:paraId="3F5E2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4B322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目录</w:t>
            </w:r>
          </w:p>
          <w:p w14:paraId="61F0325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第一章隋·统一国家的再建</w:t>
            </w:r>
          </w:p>
          <w:p w14:paraId="5CC7ABF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第二章唐朝的建立与A</w:t>
            </w:r>
          </w:p>
          <w:p w14:paraId="5710AAC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第三章唐初国家权力的强化</w:t>
            </w:r>
          </w:p>
          <w:p w14:paraId="03D6776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第四章武则天革唐为周</w:t>
            </w:r>
          </w:p>
          <w:p w14:paraId="0860880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第五章唐朝的全盛</w:t>
            </w:r>
          </w:p>
          <w:p w14:paraId="0A6DC28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第六章安史之乱及其社会影响</w:t>
            </w:r>
          </w:p>
          <w:p w14:paraId="1238B00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第七章中晚唐政治与五代十国</w:t>
            </w:r>
          </w:p>
          <w:p w14:paraId="071F58C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第八章隋唐时代的经济发展</w:t>
            </w:r>
          </w:p>
          <w:p w14:paraId="2C994C6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第九章隋唐时代的文化成就</w:t>
            </w:r>
          </w:p>
          <w:p w14:paraId="03F4859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第十章隋唐五代的周边诸族</w:t>
            </w:r>
          </w:p>
          <w:p w14:paraId="6BE87F9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第十一章隋唐时代的中外关系与文化交流</w:t>
            </w:r>
          </w:p>
        </w:tc>
      </w:tr>
    </w:tbl>
    <w:p w14:paraId="45C62F4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tbl>
      <w:tblPr>
        <w:tblStyle w:val="4"/>
        <w:tblW w:w="78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937"/>
        <w:gridCol w:w="3953"/>
      </w:tblGrid>
      <w:tr w14:paraId="62A8F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C46C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038350" cy="1362075"/>
                  <wp:effectExtent l="0" t="0" r="0" b="9525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350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BFBE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257425" cy="1133475"/>
                  <wp:effectExtent l="0" t="0" r="9525" b="9525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36F8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D694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赵州桥</w:t>
            </w:r>
          </w:p>
        </w:tc>
        <w:tc>
          <w:tcPr>
            <w:tcW w:w="3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F7BC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《步辇图》（局部）</w:t>
            </w:r>
          </w:p>
        </w:tc>
      </w:tr>
      <w:tr w14:paraId="58CCA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DA76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685925" cy="2295525"/>
                  <wp:effectExtent l="0" t="0" r="9525" b="9525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925" cy="2295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A711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066925" cy="2400300"/>
                  <wp:effectExtent l="0" t="0" r="9525" b="0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6925" cy="240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0184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DDA7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 xml:space="preserve">唐三彩骑驼乐舞俑 </w:t>
            </w:r>
          </w:p>
        </w:tc>
        <w:tc>
          <w:tcPr>
            <w:tcW w:w="3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95F8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敦煌莫高窟外景</w:t>
            </w:r>
          </w:p>
        </w:tc>
      </w:tr>
    </w:tbl>
    <w:p w14:paraId="7B0A40F6">
      <w:pPr>
        <w:spacing w:line="360" w:lineRule="auto"/>
        <w:jc w:val="both"/>
        <w:textAlignment w:val="center"/>
        <w:rPr>
          <w:color w:val="000000"/>
        </w:rPr>
      </w:pPr>
    </w:p>
    <w:p w14:paraId="0AC965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根据材料一并结合所学知识，A处内容应是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。（填序号。）</w:t>
      </w:r>
    </w:p>
    <w:p w14:paraId="2B22F2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①“文景之治”②“贞观之治”③“开元盛世”</w:t>
      </w:r>
    </w:p>
    <w:p w14:paraId="0253E1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从材料一</w:t>
      </w:r>
      <w:r>
        <w:rPr>
          <w:rFonts w:ascii="宋体" w:hAnsi="宋体" w:eastAsia="宋体" w:cs="宋体"/>
          <w:color w:val="000000"/>
          <w:em w:val="dot"/>
          <w:lang w:eastAsia="zh-CN"/>
        </w:rPr>
        <w:t>第三章至第七章</w:t>
      </w:r>
      <w:r>
        <w:rPr>
          <w:rFonts w:ascii="宋体" w:hAnsi="宋体" w:eastAsia="宋体" w:cs="宋体"/>
          <w:color w:val="000000"/>
        </w:rPr>
        <w:t>中任选其一，结合所学知识，参照示例，写出至少两节标题分享本章主要内容。</w:t>
      </w:r>
    </w:p>
    <w:tbl>
      <w:tblPr>
        <w:tblStyle w:val="4"/>
        <w:tblW w:w="31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135"/>
      </w:tblGrid>
      <w:tr w14:paraId="0FCB0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0A175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示例：</w:t>
            </w:r>
          </w:p>
          <w:p w14:paraId="5EBA56E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第一章 隋·统一国家的再建</w:t>
            </w:r>
          </w:p>
          <w:p w14:paraId="684702B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第一节 隋朝的建立</w:t>
            </w:r>
          </w:p>
          <w:p w14:paraId="63C29E9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第二节 隋统一及其原因</w:t>
            </w:r>
          </w:p>
          <w:p w14:paraId="6F4E8A4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第三节 隋朝经济的发展</w:t>
            </w:r>
          </w:p>
          <w:p w14:paraId="2FB48F8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第四节 隋朝的灭亡</w:t>
            </w:r>
          </w:p>
        </w:tc>
      </w:tr>
    </w:tbl>
    <w:p w14:paraId="26D890E5">
      <w:pPr>
        <w:spacing w:line="360" w:lineRule="auto"/>
        <w:jc w:val="left"/>
        <w:textAlignment w:val="center"/>
        <w:rPr>
          <w:color w:val="000000"/>
        </w:rPr>
      </w:pPr>
    </w:p>
    <w:p w14:paraId="2BCB2CE0">
      <w:pPr>
        <w:spacing w:line="360" w:lineRule="auto"/>
        <w:jc w:val="left"/>
        <w:textAlignment w:val="center"/>
        <w:rPr>
          <w:color w:val="000000"/>
        </w:rPr>
      </w:pPr>
    </w:p>
    <w:p w14:paraId="3C537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从材料二中任选一幅图片作为该书封面插图，并阐述你的理由。（要求：明确列出所选图片，史实准确，论证充分，表述清晰，100字左右。）</w:t>
      </w:r>
    </w:p>
    <w:p w14:paraId="1110CDD4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ECFD5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84B67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850AB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5632F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F5D6C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5DA7892"/>
    <w:rsid w:val="38274566"/>
    <w:rsid w:val="51BD21F8"/>
    <w:rsid w:val="60C53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7</Pages>
  <Words>3288</Words>
  <Characters>3472</Characters>
  <Lines>0</Lines>
  <Paragraphs>0</Paragraphs>
  <TotalTime>0</TotalTime>
  <ScaleCrop>false</ScaleCrop>
  <LinksUpToDate>false</LinksUpToDate>
  <CharactersWithSpaces>3645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2026-09-13T13:37:42Z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5DB99CA2F4DA49419D056B2C558EE448_12</vt:lpwstr>
  </property>
</Properties>
</file>