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1717E2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11633200</wp:posOffset>
            </wp:positionH>
            <wp:positionV relativeFrom="topMargin">
              <wp:posOffset>10464800</wp:posOffset>
            </wp:positionV>
            <wp:extent cx="406400" cy="304800"/>
            <wp:effectExtent l="0" t="0" r="12700" b="0"/>
            <wp:wrapNone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11976100</wp:posOffset>
            </wp:positionH>
            <wp:positionV relativeFrom="topMargin">
              <wp:posOffset>11988800</wp:posOffset>
            </wp:positionV>
            <wp:extent cx="368300" cy="304800"/>
            <wp:effectExtent l="0" t="0" r="12700" b="0"/>
            <wp:wrapNone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江西省2026年初中学业水平考试</w:t>
      </w:r>
    </w:p>
    <w:p w14:paraId="3D693F06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历史试题卷</w:t>
      </w:r>
    </w:p>
    <w:p w14:paraId="5DC3B92D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（共80分）</w:t>
      </w:r>
    </w:p>
    <w:p w14:paraId="3275DB46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一、单项选择题（本大题共20小题，每小题2分，共40分）在每小题列出的四个备选项中只有一项最符合题目要求，请将其代码填涂在答题卡相应的位置。错选、多选或未选均不得分。</w:t>
      </w:r>
    </w:p>
    <w:p w14:paraId="25D5269A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下图是某彩陶上的鱼纹图案。这件彩陶最可能出土于（   ）</w:t>
      </w:r>
    </w:p>
    <w:p w14:paraId="0AD1FEBF">
      <w:pPr>
        <w:spacing w:line="360" w:lineRule="auto"/>
        <w:jc w:val="both"/>
        <w:textAlignment w:val="center"/>
      </w:pPr>
      <w:r>
        <w:drawing>
          <wp:inline distT="0" distB="0" distL="114300" distR="114300">
            <wp:extent cx="2486025" cy="6096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FB4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半坡遗址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北京人遗址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河姆渡遗址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山顶洞人遗址</w:t>
      </w:r>
    </w:p>
    <w:p w14:paraId="19F801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各家学派为乱世求治而生，共同描绘了中国思想的璀璨画卷，也奠定了其后数千年中国文化的发展基石。材料描述的是（   ）</w:t>
      </w:r>
    </w:p>
    <w:p w14:paraId="4D82CF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诸侯争霸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百家争鸣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商鞅变法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尊崇儒术</w:t>
      </w:r>
    </w:p>
    <w:p w14:paraId="134B70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一位同学在智能对话工具中输入：“假如我生活在秦朝，去购物时应该使用哪种货币？”最合理的回复是（   ）</w:t>
      </w:r>
    </w:p>
    <w:p w14:paraId="020ABD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圆形方孔半两钱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五铢钱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开元通宝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“交子”</w:t>
      </w:r>
    </w:p>
    <w:p w14:paraId="00F625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下表是某一时期部分文学艺术成就。这一时期是（   ）</w:t>
      </w:r>
    </w:p>
    <w:tbl>
      <w:tblPr>
        <w:tblStyle w:val="4"/>
        <w:tblW w:w="36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2760"/>
      </w:tblGrid>
      <w:tr w14:paraId="52F59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8FBA5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人物</w:t>
            </w:r>
          </w:p>
        </w:tc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D9ADE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代表作品</w:t>
            </w:r>
          </w:p>
        </w:tc>
      </w:tr>
      <w:tr w14:paraId="7B80E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3D6D8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陶渊明</w:t>
            </w:r>
          </w:p>
        </w:tc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6AF36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《归园田居》《桃花源记》</w:t>
            </w:r>
          </w:p>
        </w:tc>
      </w:tr>
      <w:tr w14:paraId="69472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FB63D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王羲之</w:t>
            </w:r>
          </w:p>
        </w:tc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C82C9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《兰亭集序》</w:t>
            </w:r>
          </w:p>
        </w:tc>
      </w:tr>
      <w:tr w14:paraId="5BFBA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C07E2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顾恺之</w:t>
            </w:r>
          </w:p>
        </w:tc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CF068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《女史箴图》《洛神赋图》</w:t>
            </w:r>
          </w:p>
        </w:tc>
      </w:tr>
    </w:tbl>
    <w:p w14:paraId="69482FA1">
      <w:pPr>
        <w:spacing w:line="360" w:lineRule="auto"/>
        <w:jc w:val="both"/>
        <w:textAlignment w:val="center"/>
        <w:rPr>
          <w:color w:val="000000"/>
        </w:rPr>
      </w:pPr>
    </w:p>
    <w:p w14:paraId="72A3FE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秦汉时期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三国两晋南北朝时期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隋唐时期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辽宋夏金元时期</w:t>
      </w:r>
    </w:p>
    <w:p w14:paraId="32344A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据史料记载，韩愈三岁丧父，“家贫不足以自活”，但他刻苦读书，于贞元八年考中进士，后官至吏部侍郎。这可佐证唐代科举制（   ）</w:t>
      </w:r>
    </w:p>
    <w:p w14:paraId="5A7E532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促进了社会阶层流动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维护了贵族集团利益</w:t>
      </w:r>
    </w:p>
    <w:p w14:paraId="52DB96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实现了文化教育普及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扭转了尚武轻文风气</w:t>
      </w:r>
    </w:p>
    <w:p w14:paraId="568423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金初，女真人大批迁入中原，他们习汉语，衣汉服，在生产方式与风俗习惯上深度效仿汉族。这一现象（   ）</w:t>
      </w:r>
    </w:p>
    <w:p w14:paraId="27BABD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促进了民族交融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激化了阶级矛盾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加速了金朝灭亡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消除了文化隔阂</w:t>
      </w:r>
    </w:p>
    <w:p w14:paraId="1CCA69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明清时期，以“江右商”（江西商人）为代表的商帮足迹几乎踏遍大江南北、长城内外，甚至远及边陲、异域。这反映了明清时期（   ）</w:t>
      </w:r>
    </w:p>
    <w:p w14:paraId="72CE8C7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制瓷技术高度发达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海外贸易超过前代</w:t>
      </w:r>
    </w:p>
    <w:p w14:paraId="425B40A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经济重心开始南移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商品经济相当活跃</w:t>
      </w:r>
    </w:p>
    <w:p w14:paraId="3DC732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鸦片战争失败后，“以儒学为正宗、以经典为依归的传统教育，已无法因应重大变局”。因此，清政府在百日维新期间（   ）</w:t>
      </w:r>
    </w:p>
    <w:p w14:paraId="02A18F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裁撤冗官冗员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训练新式军队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开办新式学堂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鼓励兴办企业</w:t>
      </w:r>
    </w:p>
    <w:p w14:paraId="7CBE3C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下图为新民主主义革命某一时期出现的高频词。这一时期中国共产党（   ）</w:t>
      </w:r>
    </w:p>
    <w:p w14:paraId="2C41D8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5335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749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进行了国民革命运动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制定了党的最低纲领</w:t>
      </w:r>
    </w:p>
    <w:p w14:paraId="072D70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参与创办了黄埔军校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取得了长征伟大胜利</w:t>
      </w:r>
    </w:p>
    <w:p w14:paraId="6D5033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下图是创作于1940年的漫画《进退不得的敌寇》。该漫画创作的背景是（   ）</w:t>
      </w:r>
    </w:p>
    <w:p w14:paraId="675957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19145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5F87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九一八事变的爆发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西安事变和平解决</w:t>
      </w:r>
    </w:p>
    <w:p w14:paraId="0C9C449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抗战进入相持阶段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苏联红军出兵东北</w:t>
      </w:r>
    </w:p>
    <w:p w14:paraId="2ABF39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中共中央1945年指出：“必须坚持又团结、又斗争，以斗争之手段达到团结之目的这一方针，以便有利地转到和平发展的新阶段。”其意在（   ）</w:t>
      </w:r>
    </w:p>
    <w:p w14:paraId="4D6D6DB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打倒北洋军阀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开展土地革命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争取和平民主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和平解放北平</w:t>
      </w:r>
    </w:p>
    <w:p w14:paraId="42BE13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从1950年起，各地工作队深入到农户家中，帮助他们认清地主的发家史。农民懂得了“地主不劳动，粮食堆成山”，是因为土地制度不合理。这反映的是（   ）</w:t>
      </w:r>
    </w:p>
    <w:p w14:paraId="10C3C70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土地改革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农业合作化运动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人民公社化运动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家庭联产承包责任制</w:t>
      </w:r>
    </w:p>
    <w:p w14:paraId="29A7D7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下面是某著作的部分目录，根据★内容推知①处应是（   ）</w:t>
      </w:r>
    </w:p>
    <w:tbl>
      <w:tblPr>
        <w:tblStyle w:val="4"/>
        <w:tblW w:w="51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190"/>
      </w:tblGrid>
      <w:tr w14:paraId="58126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E555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第四章恢复国民经济与各项建设的展开</w:t>
            </w:r>
          </w:p>
          <w:p w14:paraId="7634B93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一、新民主主义经济方针的贯彻</w:t>
            </w:r>
          </w:p>
          <w:p w14:paraId="75F8A3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二、农业互助合作事业的初步发展</w:t>
            </w:r>
          </w:p>
          <w:p w14:paraId="7084CC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三、①</w:t>
            </w:r>
          </w:p>
          <w:p w14:paraId="6BC91F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★创立和运用各界人民代表会议组织形式</w:t>
            </w:r>
          </w:p>
          <w:p w14:paraId="7712AD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★加强同民主党派的合作共事</w:t>
            </w:r>
          </w:p>
          <w:p w14:paraId="4634A5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★党的民族工作方针和民族区域自治的实施</w:t>
            </w:r>
          </w:p>
        </w:tc>
      </w:tr>
    </w:tbl>
    <w:p w14:paraId="62A07FA3">
      <w:pPr>
        <w:spacing w:line="360" w:lineRule="auto"/>
        <w:jc w:val="both"/>
        <w:textAlignment w:val="center"/>
        <w:rPr>
          <w:color w:val="000000"/>
        </w:rPr>
      </w:pPr>
    </w:p>
    <w:p w14:paraId="782B88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社会主义工业化建设的起步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党的第八次全国代表大会</w:t>
      </w:r>
    </w:p>
    <w:p w14:paraId="4A1A2CC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民主建政和民族工作的开展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军队和国防的现代化建设</w:t>
      </w:r>
    </w:p>
    <w:p w14:paraId="31A602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1992年1月26日，省政府决定，在江西水泥厂、江西国药厂等6家国营大中型企业开展转换经营机制综合改革试点。这一现象出现的背景是（   ）</w:t>
      </w:r>
    </w:p>
    <w:p w14:paraId="1EA1E40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改革开放继续推进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中国加入世界贸易组织</w:t>
      </w:r>
    </w:p>
    <w:p w14:paraId="1CEC9D3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中共二十大的召开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我国全面建成小康社会</w:t>
      </w:r>
    </w:p>
    <w:p w14:paraId="2BF051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下图是古代某国家扩张示意图。下列属于该国所取得的文明成果是（   ）</w:t>
      </w:r>
    </w:p>
    <w:p w14:paraId="46EC27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86200" cy="26384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112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《荷马史诗》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《掷铁饼者》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《十二铜表法》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《天方夜谭》</w:t>
      </w:r>
    </w:p>
    <w:p w14:paraId="311358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646年初，孝德天皇颁布“革新”诏书，仿效中国隋唐的经济政治制度，实行改革。这一改革使日本（   ）</w:t>
      </w:r>
    </w:p>
    <w:p w14:paraId="2EA58ED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基本实现国家统一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发展成为封建国家</w:t>
      </w:r>
    </w:p>
    <w:p w14:paraId="76F58BF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进入幕府统治时期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成为资本主义强国</w:t>
      </w:r>
    </w:p>
    <w:p w14:paraId="472437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18世纪，英国的一位分析家曾表示，这个城市（布里斯托尔）没有一块砖不渗透着奴隶的鲜血，市民们并不觉得奴隶贸易有什么罪恶，只觉得有利可图。这反映了英国（   ）</w:t>
      </w:r>
    </w:p>
    <w:p w14:paraId="724A87D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出现大量自治城市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资本主义制度得以确立</w:t>
      </w:r>
    </w:p>
    <w:p w14:paraId="25F314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尚未开始文艺复兴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资本原始积累的残酷性</w:t>
      </w:r>
    </w:p>
    <w:p w14:paraId="789A6E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“各地民兵和大陆军乘胜追击，把龟缩在萨拉托加的英军团团围住。</w:t>
      </w:r>
      <w:r>
        <w:rPr>
          <w:color w:val="000000"/>
        </w:rPr>
        <w:t>伯戈因</w:t>
      </w:r>
      <w:r>
        <w:rPr>
          <w:rFonts w:ascii="宋体" w:hAnsi="宋体" w:eastAsia="宋体" w:cs="宋体"/>
          <w:color w:val="000000"/>
        </w:rPr>
        <w:t>弹尽粮绝，于1777年10月17日率残部5600余人投降。”材料反映的战役（   ）</w:t>
      </w:r>
    </w:p>
    <w:p w14:paraId="42660D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揭开了美国独立战争的序幕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标志美国内战爆发</w:t>
      </w:r>
    </w:p>
    <w:p w14:paraId="7A78FE0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成为美国独立战争的转折点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避免了美国的分裂</w:t>
      </w:r>
    </w:p>
    <w:p w14:paraId="1FF580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以下史事体现的历史主题是（   ）</w:t>
      </w:r>
    </w:p>
    <w:p w14:paraId="1E9012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86175" cy="6381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F9F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一战和战后初期的世界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二战后的世界变化</w:t>
      </w:r>
    </w:p>
    <w:p w14:paraId="161F13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殖民地人民的反抗斗争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冷战后的世界格局</w:t>
      </w:r>
    </w:p>
    <w:p w14:paraId="057713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历史解释是指以史料为依据，客观地认识和评判历史的态度和方法。下列表述属于历史解释的是（   ）</w:t>
      </w:r>
    </w:p>
    <w:p w14:paraId="07657B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达·伽马船队到达印度西海岸</w:t>
      </w:r>
    </w:p>
    <w:p w14:paraId="366DF5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甘地领导了印度的非暴力不合作运动</w:t>
      </w:r>
    </w:p>
    <w:p w14:paraId="248825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俄国颁布了废除农奴制的法令</w:t>
      </w:r>
    </w:p>
    <w:p w14:paraId="367F59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计算机网络推动了全球经济的一体化</w:t>
      </w:r>
    </w:p>
    <w:p w14:paraId="01FCCD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二、综合题（本大题共4小题，共40分）</w:t>
      </w:r>
    </w:p>
    <w:p w14:paraId="1006A8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你作为博物馆志愿者，参加《“吉金铸史”——先秦青铜器特展》展陈活动。根据要求，完成任务。</w:t>
      </w:r>
    </w:p>
    <w:p w14:paraId="6468E57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任务一  断代识器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80"/>
        <w:gridCol w:w="2100"/>
        <w:gridCol w:w="1850"/>
        <w:gridCol w:w="2365"/>
      </w:tblGrid>
      <w:tr w14:paraId="75B0F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0121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04900" cy="1247775"/>
                  <wp:effectExtent l="0" t="0" r="0" b="9525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CEC6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71575" cy="1323975"/>
                  <wp:effectExtent l="0" t="0" r="9525" b="9525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575" cy="1323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C716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09650" cy="904875"/>
                  <wp:effectExtent l="0" t="0" r="0" b="9525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C8C3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33500" cy="1190625"/>
                  <wp:effectExtent l="0" t="0" r="0" b="9525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E790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0057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①毛公鼎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17C0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②司母戊鼎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30A6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③利簋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576D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④二里头遗址出土的青铜爵</w:t>
            </w:r>
          </w:p>
        </w:tc>
      </w:tr>
    </w:tbl>
    <w:p w14:paraId="498A4E8B">
      <w:pPr>
        <w:spacing w:line="360" w:lineRule="auto"/>
        <w:jc w:val="both"/>
        <w:textAlignment w:val="center"/>
        <w:rPr>
          <w:color w:val="000000"/>
        </w:rPr>
      </w:pPr>
    </w:p>
    <w:p w14:paraId="0BDDA4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写出任务一中属于商朝的展品（只写序号），并指出其功能。</w:t>
      </w:r>
    </w:p>
    <w:p w14:paraId="177F9C2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任务二  读铭证史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927"/>
        <w:gridCol w:w="4398"/>
      </w:tblGrid>
      <w:tr w14:paraId="0191D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A184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114550" cy="1847850"/>
                  <wp:effectExtent l="0" t="0" r="0" b="0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55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7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5481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晋侯鸟尊，西周，高39厘米，长30.5厘米，宽17.5厘米，2000年北赵墓地114号晋侯燮父墓出土。其器盖和腹底铭文拓片：“晋侯作向太室宝尊彝”，即晋侯为宗庙所造之器。</w:t>
            </w:r>
          </w:p>
        </w:tc>
      </w:tr>
      <w:tr w14:paraId="5113C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B4CE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晋侯鸟尊及铭文拓片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9513ADE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</w:tr>
    </w:tbl>
    <w:p w14:paraId="54E7CEBA">
      <w:pPr>
        <w:spacing w:line="360" w:lineRule="auto"/>
        <w:jc w:val="left"/>
        <w:textAlignment w:val="center"/>
        <w:rPr>
          <w:color w:val="000000"/>
        </w:rPr>
      </w:pPr>
    </w:p>
    <w:p w14:paraId="426DDB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根据任务二呈现的展品资料，指出与器主身份相关的政治制度。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520"/>
        <w:gridCol w:w="5805"/>
      </w:tblGrid>
      <w:tr w14:paraId="06B17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0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1A18C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04925" cy="1552575"/>
                  <wp:effectExtent l="0" t="0" r="9525" b="9525"/>
                  <wp:docPr id="100023" name="图片 1000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1552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BF034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讲解词</w:t>
            </w:r>
          </w:p>
          <w:p w14:paraId="6F147AE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尊敬的游客，大家好！现在我们看到的是春秋时期的“勾践剑”与“夫差矛”，文物上面布满精美的菱形花纹，银光闪耀，保存如新，代表了吴越青铜工业的高度水平。</w:t>
            </w:r>
          </w:p>
          <w:p w14:paraId="1BD64AD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器主分别是春秋时期的越国国君勾践和吴国国君夫差，其背后的“卧薪尝胆”故事脍炙人口，这个成语讲的是：_____________________________________________________</w:t>
            </w:r>
          </w:p>
        </w:tc>
      </w:tr>
      <w:tr w14:paraId="37531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00ABB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勾践剑（上）夫差矛（下）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D3164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4873D080">
      <w:pPr>
        <w:spacing w:line="360" w:lineRule="auto"/>
        <w:jc w:val="left"/>
        <w:textAlignment w:val="center"/>
        <w:rPr>
          <w:color w:val="000000"/>
        </w:rPr>
      </w:pPr>
    </w:p>
    <w:p w14:paraId="7192422F">
      <w:pPr>
        <w:spacing w:line="360" w:lineRule="auto"/>
        <w:jc w:val="left"/>
        <w:textAlignment w:val="center"/>
        <w:rPr>
          <w:color w:val="000000"/>
        </w:rPr>
      </w:pPr>
    </w:p>
    <w:p w14:paraId="15405A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根据任务三呈现的展品资料，为“勾践剑”与“夫差矛”的讲解词补充“卧薪尝胆”的历史故事。（要求：叙事完整，以史为鉴）</w:t>
      </w:r>
    </w:p>
    <w:p w14:paraId="00D877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服饰是社会生活的缩影。阅读材料，回答问题。</w:t>
      </w:r>
    </w:p>
    <w:p w14:paraId="25EFE0F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62"/>
        <w:gridCol w:w="7363"/>
      </w:tblGrid>
      <w:tr w14:paraId="10852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D10F5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服饰</w:t>
            </w:r>
          </w:p>
        </w:tc>
        <w:tc>
          <w:tcPr>
            <w:tcW w:w="7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80050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简介</w:t>
            </w:r>
          </w:p>
        </w:tc>
      </w:tr>
      <w:tr w14:paraId="6ACA8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AB80B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旗袍</w:t>
            </w:r>
          </w:p>
        </w:tc>
        <w:tc>
          <w:tcPr>
            <w:tcW w:w="7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14E07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原是满族妇女的基本服装，特点是袍身宽大、线条平直。20世纪20年代之后，人们吸收西方服饰的长处，使旗袍由宽松肥大演变到合身适体，成为城镇新潮女性的日常着装。</w:t>
            </w:r>
          </w:p>
        </w:tc>
      </w:tr>
      <w:tr w14:paraId="1C2B0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D042A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西装</w:t>
            </w:r>
          </w:p>
        </w:tc>
        <w:tc>
          <w:tcPr>
            <w:tcW w:w="7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F8C81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鸦片战争后传入中国。民国成立后，随着剪辫易服运动的推行，在城镇中流行开来。</w:t>
            </w:r>
          </w:p>
        </w:tc>
      </w:tr>
      <w:tr w14:paraId="069A1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84548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中山装</w:t>
            </w:r>
          </w:p>
        </w:tc>
        <w:tc>
          <w:tcPr>
            <w:tcW w:w="7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11204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辛亥革命后，孙中山综合了西式服装与中式服装的特点，设计出了中山装。此后几十年，成为中国男子喜欢的标准服装。</w:t>
            </w:r>
          </w:p>
        </w:tc>
      </w:tr>
      <w:tr w14:paraId="0CF37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B2FDC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列宁装</w:t>
            </w:r>
          </w:p>
        </w:tc>
        <w:tc>
          <w:tcPr>
            <w:tcW w:w="7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4A869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20世纪50年代，穿衣打扮与政治生活紧密地联系在一起，以列宁装为特征的苏式服装成为人们的普遍选择。</w:t>
            </w:r>
          </w:p>
        </w:tc>
      </w:tr>
      <w:tr w14:paraId="03417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350F3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运动装</w:t>
            </w:r>
          </w:p>
        </w:tc>
        <w:tc>
          <w:tcPr>
            <w:tcW w:w="7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9BD09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改革开放后，人们的衣着变得丰富多彩起来，服饰已是人们追求时尚、展示个性的方式。体育热潮（如女排夺冠）促使运动装普及。</w:t>
            </w:r>
          </w:p>
        </w:tc>
      </w:tr>
    </w:tbl>
    <w:p w14:paraId="1E9C52D9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——摘编自课程教材研究所等编著《历史读本</w:t>
      </w:r>
      <w:r>
        <w:rPr>
          <w:rFonts w:ascii="微软雅黑" w:hAnsi="微软雅黑" w:eastAsia="微软雅黑" w:cs="微软雅黑"/>
          <w:color w:val="000000"/>
        </w:rPr>
        <w:t>・</w:t>
      </w:r>
      <w:r>
        <w:rPr>
          <w:rFonts w:ascii="楷体" w:hAnsi="楷体" w:eastAsia="楷体" w:cs="楷体"/>
          <w:color w:val="000000"/>
        </w:rPr>
        <w:t>中国近现代史》</w:t>
      </w:r>
    </w:p>
    <w:p w14:paraId="544312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根据材料并结合所学知识，指出“列宁装”成为人们普遍选择的历史背景。</w:t>
      </w:r>
    </w:p>
    <w:p w14:paraId="4EC4C9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根据材料并结合所学知识，以“服饰变迁折射时代发展”为主题，选取两款服饰加以阐述。（要求：语言简洁，史论结合，逻辑清晰）</w:t>
      </w:r>
    </w:p>
    <w:p w14:paraId="7D1E28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统一是历史大势，是正道。阅读材料，回答问题。</w:t>
      </w:r>
    </w:p>
    <w:p w14:paraId="3D562E6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1850—1854年，德国（统一前）生铁年产量为24.5万吨，英国的生铁年产量为300万吨；而到了1910—1913年，德国（统一后）生铁年产量则达到了1500万吨，英国每年能生产生铁1000万吨。</w:t>
      </w:r>
    </w:p>
    <w:p w14:paraId="0A86584E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——摘编自侯建新《欧洲文明进程》（工业化卷）</w:t>
      </w:r>
    </w:p>
    <w:p w14:paraId="397768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根据材料一并结合所学知识，分析德国生铁产量超过英国的原因。</w:t>
      </w:r>
    </w:p>
    <w:p w14:paraId="162E862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1945年5月德国投降后，苏、美、英、法对德实行分区占领。随着美苏矛盾的尖锐，西方三国策划在西占区成立西德国家，以对抗苏联。1949年9月，西占区宣布成立“联邦德国”。</w:t>
      </w:r>
    </w:p>
    <w:p w14:paraId="2E8177AC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——摘编自武寅《简明世界历史读本》</w:t>
      </w:r>
    </w:p>
    <w:p w14:paraId="3E3F73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根据材料二并结合所学知识，分析“分区占领”的政治影响。</w:t>
      </w:r>
    </w:p>
    <w:p w14:paraId="04A334C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  自1989年11月9日柏林墙倒塌至1990年10月3日，德国在不到一年的时间内就结束了41年的分裂状态，完成了国家的统一。统一后德国的经济实力大增，已经成为欧洲经济上的超级大国，在欧共体内居支配地位。</w:t>
      </w:r>
    </w:p>
    <w:p w14:paraId="69251F78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——摘编自张建华《世界现代史》（1900—2000）</w:t>
      </w:r>
    </w:p>
    <w:p w14:paraId="4C91B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综合上述材料并结合所学知识，谈谈你对国家统一的认识。</w:t>
      </w:r>
    </w:p>
    <w:p w14:paraId="0E0A51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循科技之脉，答时代之问。阅读材料，回答问题。</w:t>
      </w:r>
    </w:p>
    <w:p w14:paraId="11B87F0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【溯源·东方智慧】</w:t>
      </w:r>
    </w:p>
    <w:p w14:paraId="3AC8678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</w:p>
    <w:tbl>
      <w:tblPr>
        <w:tblStyle w:val="4"/>
        <w:tblW w:w="83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90"/>
        <w:gridCol w:w="2730"/>
        <w:gridCol w:w="2940"/>
      </w:tblGrid>
      <w:tr w14:paraId="617B4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7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E7DF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609725" cy="895350"/>
                  <wp:effectExtent l="0" t="0" r="9525" b="0"/>
                  <wp:docPr id="100025" name="图片 10002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11FB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571625" cy="1285875"/>
                  <wp:effectExtent l="0" t="0" r="9525" b="9525"/>
                  <wp:docPr id="100027" name="图片 10002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图片 10002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31CF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714500" cy="1266825"/>
                  <wp:effectExtent l="0" t="0" r="0" b="9525"/>
                  <wp:docPr id="100029" name="图片 10002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图片 10002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5056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7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B38F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①《伤寒杂病论》书影</w:t>
            </w: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E58D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②《齐民要术》书影</w:t>
            </w:r>
          </w:p>
        </w:tc>
        <w:tc>
          <w:tcPr>
            <w:tcW w:w="2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842F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③《天工开物》插图</w:t>
            </w:r>
          </w:p>
        </w:tc>
      </w:tr>
    </w:tbl>
    <w:p w14:paraId="36FC8FEB">
      <w:pPr>
        <w:spacing w:line="360" w:lineRule="auto"/>
        <w:jc w:val="both"/>
        <w:textAlignment w:val="center"/>
        <w:rPr>
          <w:color w:val="000000"/>
        </w:rPr>
      </w:pPr>
    </w:p>
    <w:p w14:paraId="652221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从材料一中任选一项（只写序号），结合所学知识，写出该著作的作者。</w:t>
      </w:r>
    </w:p>
    <w:p w14:paraId="794DDDB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【激荡·变革浪潮】</w:t>
      </w:r>
    </w:p>
    <w:p w14:paraId="7D03CC7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工业革命的各项进程仍然在全球各地不断推进……对大多数人来讲，这种影响为他们带来了前所未有的健康而舒适的生活，以及数不胜数的技术制品。但是，许多人在享受物质进步的同时，也为之付出了沉重的代价。</w:t>
      </w:r>
    </w:p>
    <w:p w14:paraId="027066F3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——摘编自詹姆斯·E·麦克莱伦第三、哈罗德·多恩《世界科学技术通史》</w:t>
      </w:r>
    </w:p>
    <w:p w14:paraId="3EBCAE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结合所学知识，分别指出材料二中“享受”和“代价”的具体表现。</w:t>
      </w:r>
    </w:p>
    <w:p w14:paraId="3E3108D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【奋楫·大国攻坚】</w:t>
      </w:r>
    </w:p>
    <w:p w14:paraId="556E224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  二十世纪六七十年代中国科技成就表（部分）</w:t>
      </w:r>
    </w:p>
    <w:tbl>
      <w:tblPr>
        <w:tblStyle w:val="4"/>
        <w:tblW w:w="67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43"/>
        <w:gridCol w:w="1789"/>
        <w:gridCol w:w="3503"/>
      </w:tblGrid>
      <w:tr w14:paraId="3C2A0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411AD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代表人物</w:t>
            </w: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1F27C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时间</w:t>
            </w:r>
          </w:p>
        </w:tc>
        <w:tc>
          <w:tcPr>
            <w:tcW w:w="3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0873F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成就</w:t>
            </w:r>
          </w:p>
        </w:tc>
      </w:tr>
      <w:tr w14:paraId="4F315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B817E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邓稼先</w:t>
            </w: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5D239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1964年10月</w:t>
            </w:r>
          </w:p>
        </w:tc>
        <w:tc>
          <w:tcPr>
            <w:tcW w:w="3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F8CA1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成功研制我国第一颗原子弹</w:t>
            </w:r>
          </w:p>
        </w:tc>
      </w:tr>
      <w:tr w14:paraId="42C91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1FEC9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袁隆平</w:t>
            </w: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44DA9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20世纪70年代</w:t>
            </w:r>
          </w:p>
        </w:tc>
        <w:tc>
          <w:tcPr>
            <w:tcW w:w="3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2A7DB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A</w:t>
            </w:r>
          </w:p>
        </w:tc>
      </w:tr>
      <w:tr w14:paraId="5E8CE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BE6A8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屠呦呦</w:t>
            </w: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C0758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20世纪70年代</w:t>
            </w:r>
          </w:p>
        </w:tc>
        <w:tc>
          <w:tcPr>
            <w:tcW w:w="3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94BBD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发现了能够有效抵抗疟疾的青蒿素</w:t>
            </w:r>
          </w:p>
        </w:tc>
      </w:tr>
    </w:tbl>
    <w:p w14:paraId="06A363F0">
      <w:pPr>
        <w:spacing w:line="360" w:lineRule="auto"/>
        <w:jc w:val="left"/>
        <w:textAlignment w:val="center"/>
        <w:rPr>
          <w:color w:val="000000"/>
        </w:rPr>
      </w:pPr>
    </w:p>
    <w:p w14:paraId="4FB41B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结合所学知识，将材料三A处内容填写完整。</w:t>
      </w:r>
    </w:p>
    <w:p w14:paraId="733E5F8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【思辨·青春之声】</w:t>
      </w:r>
    </w:p>
    <w:p w14:paraId="0D984C7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材料四  放眼全球，技术创新进入前所未有的密集活跃期。新技术在深刻改变人类生产生活，重塑经济发展方式的同时，也对防范科技风险、保障科技安全提出了新挑战。比如，区块链、大数据、云计算等对信息安全、网络安全带来挑战，人工智能、合成生物学、基因编辑等技术对社会伦理产生冲击。</w:t>
      </w:r>
    </w:p>
    <w:p w14:paraId="2F2AE8CD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——摘编自《人民日报》2024年8月27日5版《筑牢科技创新的“安全之基”》</w:t>
      </w:r>
    </w:p>
    <w:p w14:paraId="05E61C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综合上述材料并结合所学知识，从作用和风险两个角度谈谈你对科技的看法。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22242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C4F07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59C9B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19164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0C994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605C5F"/>
    <w:rsid w:val="0F604951"/>
    <w:rsid w:val="29840072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4</Pages>
  <Words>2446</Words>
  <Characters>2658</Characters>
  <Lines>0</Lines>
  <Paragraphs>0</Paragraphs>
  <TotalTime>0</TotalTime>
  <ScaleCrop>false</ScaleCrop>
  <LinksUpToDate>false</LinksUpToDate>
  <CharactersWithSpaces>2871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2026-09-13T13:37:51Z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A6E9A6B0429740E1B1B517DFE2EF6B6A_12</vt:lpwstr>
  </property>
</Properties>
</file>