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891738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11341100</wp:posOffset>
            </wp:positionH>
            <wp:positionV relativeFrom="topMargin">
              <wp:posOffset>12560300</wp:posOffset>
            </wp:positionV>
            <wp:extent cx="431800" cy="406400"/>
            <wp:effectExtent l="0" t="0" r="6350" b="12700"/>
            <wp:wrapNone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毕节市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292B1BE0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文科综合历史试题</w:t>
      </w:r>
    </w:p>
    <w:p w14:paraId="7BCFA1DB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5EE8D22B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答题前，请务必将自己的姓名、准考证号填写在答题卡的规定位置。</w:t>
      </w:r>
    </w:p>
    <w:p w14:paraId="0696A6F3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答题时，选择题使用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铅笔在答题卡上填涂，非选择题使用黑色字迹的笔在答题卡规定区域内作答，在试卷上作答无效。</w:t>
      </w:r>
    </w:p>
    <w:p w14:paraId="225AD180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本试题共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分，法治和安全知识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分，道德与法治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分，历史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分，考试时间共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6A354E7D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第Ⅰ卷</w:t>
      </w:r>
    </w:p>
    <w:p w14:paraId="191F0224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一、选择题：在每小题给出的四个选项中，只有一项符合题目要求。</w:t>
      </w:r>
    </w:p>
    <w:p w14:paraId="7452934A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贵州“桐梓人”遗址距今</w:t>
      </w:r>
      <w:r>
        <w:rPr>
          <w:rFonts w:ascii="Times New Roman" w:hAnsi="Times New Roman" w:eastAsia="Times New Roman" w:cs="Times New Roman"/>
          <w:color w:val="auto"/>
        </w:rPr>
        <w:t>20</w:t>
      </w:r>
      <w:r>
        <w:rPr>
          <w:rFonts w:ascii="宋体" w:hAnsi="宋体" w:eastAsia="宋体" w:cs="宋体"/>
          <w:color w:val="auto"/>
        </w:rPr>
        <w:t>万年以上，发掘了人齿化石、打制石器、炭屑和烧骨。该遗址填补了人类发展进化史上的关键一环。这可用于研究（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BC7BD7D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旧石器时代人类与环境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新石器时代农业与生活</w:t>
      </w:r>
    </w:p>
    <w:p w14:paraId="7B9C24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炎黄部落的形成与发展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青铜时代的社会与生产</w:t>
      </w:r>
    </w:p>
    <w:p w14:paraId="38FB17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在某历史社团举办的辩论赛中，双方提出了以下观点。由此判断他们在辩论春秋争霸的（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2AB02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15035"/>
            <wp:effectExtent l="0" t="0" r="0" b="1841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15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B1E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背景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过程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性质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影响</w:t>
      </w:r>
    </w:p>
    <w:p w14:paraId="1C48BA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从历史地图中辨识、获取信息是学习历史的重要方法。从下图中获取的信息是（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CBE5F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19400" cy="20097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551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                 北宋形势图（1111年）</w:t>
      </w:r>
    </w:p>
    <w:p w14:paraId="30EE1C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统一与繁荣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强盛与安宁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并立与交融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闭关与衰退</w:t>
      </w:r>
    </w:p>
    <w:p w14:paraId="05A252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思维导图可以用于梳理知识脉络，构建框架。下图是某同学绘制的思维导图，请将“西藏地区”补充完整（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B979F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35380"/>
            <wp:effectExtent l="0" t="0" r="0" b="762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35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613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设西域都护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文成公主入藏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设置宣政院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设置驻藏大臣</w:t>
      </w:r>
    </w:p>
    <w:p w14:paraId="56DD48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《东方破晓》一书描述了建党时期的一些生动细节：李达与王会悟新婚之际却分别忙于建党筹备与警戒；其他代表们明知危险，仍从各地乔装打扮、冒险奔赴上海。这印证的建党精神是（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527E8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使命担当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廉洁自律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艰苦奋斗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宽厚仁爱</w:t>
      </w:r>
    </w:p>
    <w:p w14:paraId="2766F2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春联是我国特有的一种传统文学形式，其内容既贴近人民的生活又折射历史的变迁。下面是抗日战争时期的一副春联，这反映了（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59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955"/>
      </w:tblGrid>
      <w:tr w14:paraId="68025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59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F6D4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横批：还我河山</w:t>
            </w:r>
          </w:p>
          <w:p w14:paraId="556BE5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上联：驱逐倭寇高擎火炬    下联：复原中国大放光明</w:t>
            </w:r>
          </w:p>
        </w:tc>
      </w:tr>
    </w:tbl>
    <w:p w14:paraId="4B98FD8E">
      <w:pPr>
        <w:spacing w:line="360" w:lineRule="auto"/>
        <w:jc w:val="both"/>
        <w:textAlignment w:val="center"/>
        <w:rPr>
          <w:color w:val="000000"/>
        </w:rPr>
      </w:pPr>
    </w:p>
    <w:p w14:paraId="75E81C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国民政府的消极抗战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驱逐日寇的坚强意志</w:t>
      </w:r>
    </w:p>
    <w:p w14:paraId="54AC3E3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日本侵华的凶残野蛮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统一战线的艰辛历程</w:t>
      </w:r>
    </w:p>
    <w:p w14:paraId="3799AD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北京见证了中美交往的历史。</w:t>
      </w:r>
      <w:r>
        <w:rPr>
          <w:rFonts w:ascii="Times New Roman" w:hAnsi="Times New Roman" w:eastAsia="Times New Roman" w:cs="Times New Roman"/>
          <w:color w:val="000000"/>
        </w:rPr>
        <w:t>1972</w:t>
      </w:r>
      <w:r>
        <w:rPr>
          <w:rFonts w:ascii="宋体" w:hAnsi="宋体" w:eastAsia="宋体" w:cs="宋体"/>
          <w:color w:val="000000"/>
        </w:rPr>
        <w:t>年，尼克松总统在这里留下了“破冰之旅”的影像。后来中美双方签署了《联合公报》，这表明（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A0505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和平共处五项原则的提出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中国恢复联合国合法席位</w:t>
      </w:r>
    </w:p>
    <w:p w14:paraId="23DC82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中美关系开始走向正常化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中美正式建立了外交关系</w:t>
      </w:r>
    </w:p>
    <w:p w14:paraId="792A75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近些年来，我国出现了年轻人将父母接到大城市共度佳节的“反向团圆”，或利用高清视频实现的“云端团聚”。这一现象得益于（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B0F41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航空航天技术的突破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交通与通信技术的发展</w:t>
      </w:r>
    </w:p>
    <w:p w14:paraId="7EDF98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义务教育普及的推动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医疗保险制度的全覆盖</w:t>
      </w:r>
    </w:p>
    <w:p w14:paraId="7EC57C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年科学家首次成功读取了距今约</w:t>
      </w:r>
      <w:r>
        <w:rPr>
          <w:rFonts w:ascii="Times New Roman" w:hAnsi="Times New Roman" w:eastAsia="Times New Roman" w:cs="Times New Roman"/>
          <w:color w:val="000000"/>
        </w:rPr>
        <w:t>4800</w:t>
      </w:r>
      <w:r>
        <w:rPr>
          <w:rFonts w:ascii="宋体" w:hAnsi="宋体" w:eastAsia="宋体" w:cs="宋体"/>
          <w:color w:val="000000"/>
        </w:rPr>
        <w:t>年的古埃及人全基因组。数据显示约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的血统源自北非，约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与两河流域古人群相近。这反映了（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5E9D4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人种构成单一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文明完整保存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文明相互联系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区域文明中断</w:t>
      </w:r>
    </w:p>
    <w:p w14:paraId="2D0757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文艺复兴时期，建筑师布鲁内列斯基通过深入研究古罗马万神殿，独创了双层壳结构与“鱼骨纹”砌砖法，最终解决了佛罗伦萨主教堂的建造难题。这表明文艺复兴（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EFC68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彻底推翻了神学对思想的束缚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汲取古典文化弘扬人的创造力</w:t>
      </w:r>
    </w:p>
    <w:p w14:paraId="5CD43A4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以学习古典政治制度为主要目标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借助神学推动建筑技术的革新</w:t>
      </w:r>
    </w:p>
    <w:p w14:paraId="29E566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研究人员利用高光谱成像技术分析《独立宣言》原始手稿时，发现杰斐逊最初写下的是“我们的臣民”，后修改为“我们的公民”。这反映了（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D468C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北美用平等观念反殖民统治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北美独立战争已经取得胜利</w:t>
      </w:r>
    </w:p>
    <w:p w14:paraId="3A9E11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美国完全废除黑人奴隶制度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英国殖民统治已经全面崩溃</w:t>
      </w:r>
    </w:p>
    <w:p w14:paraId="2E6FCD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年美以伊军事冲突不断升级，全球油价大幅上涨，多国制造业、交通运输业成本明显上升。这表明全球化背景下（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CB6C5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国际分工深化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资本在全球流动加速</w:t>
      </w:r>
    </w:p>
    <w:p w14:paraId="21D074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贫富差距扩大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风险与危机跨国传递</w:t>
      </w:r>
    </w:p>
    <w:p w14:paraId="4FEDDCF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</w:t>
      </w:r>
    </w:p>
    <w:p w14:paraId="5E983C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二、历史材料解析题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</w:p>
    <w:p w14:paraId="34C61B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足球是风靡全球的体育运动之一。回望历史，现代足球的雏形正是中国古代的蹴鞠。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年世界杯期间，某校开展以“蹴鞠”为主题的项目式学习，邀请你一起完成。</w:t>
      </w:r>
    </w:p>
    <w:p w14:paraId="6358D6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【项目名称】活力中国：从蹴鞠看古代社会变迁</w:t>
      </w:r>
    </w:p>
    <w:p w14:paraId="1DCB1B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【项目目标】通过本项目的学习，知道现代足球与古代蹴鞠的渊源，认识体育运动的演变受政治环境、经济水平和科技发展等影响，树立强身健体的意识。</w:t>
      </w:r>
    </w:p>
    <w:p w14:paraId="039502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【项目任务】</w:t>
      </w:r>
    </w:p>
    <w:p w14:paraId="12069C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溯源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60"/>
        <w:gridCol w:w="5265"/>
      </w:tblGrid>
      <w:tr w14:paraId="2462A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0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04FE0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790700" cy="2152650"/>
                  <wp:effectExtent l="0" t="0" r="0" b="0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8C4BE1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相传蹴鞠由黄帝所作。汉代，蹴鞠作为一种娱乐休闲的方式在民间甚为流行。同时，也受到了军事部门的青睐。刘向指出蹴鞠可以用于训练士兵，霍去病也曾用蹴鞠提振士气。东汉李尤曾描述蹴鞠比赛的场景：双方各有六人参加，一方进攻，一方防守；整个比赛过程，拼抢激烈，以攻占对方阵地为胜。从中可以看出现代足球比赛的雏形。</w:t>
            </w:r>
          </w:p>
          <w:p w14:paraId="397446AB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楷体" w:hAnsi="楷体" w:eastAsia="楷体" w:cs="楷体"/>
                <w:color w:val="000000"/>
              </w:rPr>
              <w:t>摘编自河南博物院《蹴鞠画像石》</w:t>
            </w:r>
          </w:p>
        </w:tc>
      </w:tr>
    </w:tbl>
    <w:p w14:paraId="64004D14">
      <w:pPr>
        <w:spacing w:line="360" w:lineRule="auto"/>
        <w:jc w:val="both"/>
        <w:textAlignment w:val="center"/>
        <w:rPr>
          <w:color w:val="000000"/>
        </w:rPr>
      </w:pPr>
    </w:p>
    <w:p w14:paraId="783807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根据任务一，指出汉代蹴鞠具有哪些社会功能。</w:t>
      </w:r>
    </w:p>
    <w:p w14:paraId="5E3575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发展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30"/>
        <w:gridCol w:w="5295"/>
      </w:tblGrid>
      <w:tr w14:paraId="654D6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569F2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762125" cy="1362075"/>
                  <wp:effectExtent l="0" t="0" r="9525" b="9525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125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9716B2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唐代一改汉时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以韦为之，实以物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的实心球，而做成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以胞为里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的空心皮球，可以充气，球壳以皮革缝制，使球的形状更圆了。这样的改进也使球体变轻而富于弹性，更有利于女子蹴鞠嬉戏。《剧谈录》记载了穿着木屐的年轻女子能够接住军中少年踢漏的球，且一脚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直高数丈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，其脚上功夫非同一般，真可谓巾帼不让须眉。</w:t>
            </w:r>
          </w:p>
          <w:p w14:paraId="5044DD62">
            <w:pPr>
              <w:spacing w:line="360" w:lineRule="auto"/>
              <w:ind w:firstLine="420"/>
              <w:jc w:val="righ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楷体" w:hAnsi="楷体" w:eastAsia="楷体" w:cs="楷体"/>
                <w:color w:val="000000"/>
              </w:rPr>
              <w:t>摘编自李曼丽《中国古代的女子蹴鞠》</w:t>
            </w:r>
          </w:p>
        </w:tc>
      </w:tr>
    </w:tbl>
    <w:p w14:paraId="3FD5EAD1">
      <w:pPr>
        <w:spacing w:line="360" w:lineRule="auto"/>
        <w:jc w:val="left"/>
        <w:textAlignment w:val="center"/>
        <w:rPr>
          <w:color w:val="000000"/>
        </w:rPr>
      </w:pPr>
    </w:p>
    <w:p w14:paraId="2C11CF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根据任务二，概括唐代蹴鞠发展的新变化。</w:t>
      </w:r>
    </w:p>
    <w:p w14:paraId="0EC008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进阶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940"/>
        <w:gridCol w:w="5385"/>
      </w:tblGrid>
      <w:tr w14:paraId="0E0C9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B4278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714500" cy="2066925"/>
                  <wp:effectExtent l="0" t="0" r="0" b="9525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2066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273EB8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如图是收藏于湖南省博物馆的宋代蹴鞠纹铜镜。铜镜背面浮雕的图像是一对男女相对踢球，画面形象生动。宋朝时蹴鞠成为非常普及的娱乐健身活动，上至皇亲国戚，下至黎民百姓，都以蹴鞠为乐。陆游诗中对当时梁州女子蹴鞠盛况有这样的描述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十万人家，倾城出动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。当时还有全国性的足球协会定期组织大型的蹴鞠赛会。</w:t>
            </w:r>
          </w:p>
          <w:p w14:paraId="7DC2DF82">
            <w:pPr>
              <w:spacing w:line="360" w:lineRule="auto"/>
              <w:ind w:firstLine="420"/>
              <w:jc w:val="righ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楷体" w:hAnsi="楷体" w:eastAsia="楷体" w:cs="楷体"/>
                <w:color w:val="000000"/>
              </w:rPr>
              <w:t>摘编自《中国历史·教师教学用书》</w:t>
            </w:r>
          </w:p>
        </w:tc>
      </w:tr>
    </w:tbl>
    <w:p w14:paraId="70527CD9">
      <w:pPr>
        <w:spacing w:line="360" w:lineRule="auto"/>
        <w:jc w:val="left"/>
        <w:textAlignment w:val="center"/>
        <w:rPr>
          <w:color w:val="000000"/>
        </w:rPr>
      </w:pPr>
    </w:p>
    <w:p w14:paraId="067CD5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根据任务三并结合所学知识，简述宋代蹴鞠运动繁荣的主要原因。</w:t>
      </w:r>
    </w:p>
    <w:p w14:paraId="445011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通过本项目学习，你从中得到哪些认识。</w:t>
      </w:r>
    </w:p>
    <w:p w14:paraId="67CC5C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山河动荡之时，个人命运紧系家国；风雨征程之中，人生选择尽显担当。让我们一同走近革命先辈周素园，开展探究性学习。</w:t>
      </w:r>
    </w:p>
    <w:p w14:paraId="566F5D6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周素园事迹</w:t>
      </w:r>
    </w:p>
    <w:tbl>
      <w:tblPr>
        <w:tblStyle w:val="4"/>
        <w:tblW w:w="4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3690"/>
      </w:tblGrid>
      <w:tr w14:paraId="59178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3B00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阶段</w:t>
            </w:r>
          </w:p>
        </w:tc>
        <w:tc>
          <w:tcPr>
            <w:tcW w:w="4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8A58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主要经历</w:t>
            </w:r>
          </w:p>
        </w:tc>
      </w:tr>
      <w:tr w14:paraId="7444C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5F55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探索道路</w:t>
            </w:r>
          </w:p>
        </w:tc>
        <w:tc>
          <w:tcPr>
            <w:tcW w:w="4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3C51DE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参与领导贵州辛亥革命，推翻清王朝统治并成立贵州军政府，被推为贵州行政院总理，积极宣传爱国主义、唤醒民众，推行政治改良。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1925</w:t>
            </w:r>
            <w:r>
              <w:rPr>
                <w:rFonts w:ascii="楷体" w:hAnsi="楷体" w:eastAsia="楷体" w:cs="楷体"/>
                <w:color w:val="000000"/>
              </w:rPr>
              <w:t>年回毕节闭门读书，研究包括《资本论》在内的马列著作。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九一八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事变后，不满蒋介石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攘外必先安内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政策，苦于报国无门，内心苦闷，在家书中写道：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眼看祖国危亡在目前，真是一百二十个的惭愧。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</w:p>
        </w:tc>
      </w:tr>
      <w:tr w14:paraId="10711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7E6F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追逐理想</w:t>
            </w:r>
          </w:p>
        </w:tc>
        <w:tc>
          <w:tcPr>
            <w:tcW w:w="4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422007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1936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楷体" w:hAnsi="楷体" w:eastAsia="楷体" w:cs="楷体"/>
                <w:color w:val="000000"/>
              </w:rPr>
              <w:t>月，在红二、六军团到达毕节后，被红军感召，担任贵州抗日救国军司令，使队伍发展到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1000</w:t>
            </w:r>
            <w:r>
              <w:rPr>
                <w:rFonts w:ascii="楷体" w:hAnsi="楷体" w:eastAsia="楷体" w:cs="楷体"/>
                <w:color w:val="000000"/>
              </w:rPr>
              <w:t>余人。以近花甲之龄（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57</w:t>
            </w:r>
            <w:r>
              <w:rPr>
                <w:rFonts w:ascii="楷体" w:hAnsi="楷体" w:eastAsia="楷体" w:cs="楷体"/>
                <w:color w:val="000000"/>
              </w:rPr>
              <w:t>岁）毅然跟随红军长征，坚定了跟着共产党走的决心。长征途中，写信给滇军将领劝其不要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围剿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红军。到达陕北后，得到毛泽东等中央领导接见，毛泽东称他为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我们的一个十分亲切而又可敬的朋友与革命的同志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。全面抗战爆发后，任八路军高级参议，受毛泽东委托到西南各省宣传党的抗日主张。</w:t>
            </w:r>
          </w:p>
        </w:tc>
      </w:tr>
      <w:tr w14:paraId="74016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6FAB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投身建设</w:t>
            </w:r>
          </w:p>
        </w:tc>
        <w:tc>
          <w:tcPr>
            <w:tcW w:w="4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F643CF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1949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  <w:r>
              <w:rPr>
                <w:rFonts w:ascii="楷体" w:hAnsi="楷体" w:eastAsia="楷体" w:cs="楷体"/>
                <w:color w:val="000000"/>
              </w:rPr>
              <w:t>月毕节解放后，组织群众支援解放军进军四川，肃清敌特土匪，建立人民政权。历任西南军政委员会委员、贵州省人民政府副主席、副省长。</w:t>
            </w:r>
          </w:p>
        </w:tc>
      </w:tr>
    </w:tbl>
    <w:p w14:paraId="4794577C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摘编自新华网</w:t>
      </w:r>
    </w:p>
    <w:p w14:paraId="38C2AC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请你根据以上素材，完成探究：</w:t>
      </w:r>
    </w:p>
    <w:p w14:paraId="589FA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周素园在探索道路时期，参与了辛亥革命。请简述辛亥革命的历史意义。</w:t>
      </w:r>
    </w:p>
    <w:p w14:paraId="16AEF2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概括周素园在追逐理想时期为革命事业所做出的贡献。</w:t>
      </w:r>
    </w:p>
    <w:p w14:paraId="226F7E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周素园在投身建设时期，见证了新中国的建立与巩固。请列举新中国巩固人民政权的举措。</w:t>
      </w:r>
    </w:p>
    <w:p w14:paraId="6007A3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通过本次探究性学习，请谈谈周素园的人生选择给你的启示。</w:t>
      </w:r>
    </w:p>
    <w:p w14:paraId="4A9B1C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亚非拉民族解放运动既彰显了人民争取民族独立、实现民族解放的坚定意志，也深刻改变了世界政治格局，推动了人类文明进步。阅读材料，回答问题。</w:t>
      </w:r>
    </w:p>
    <w:p w14:paraId="7DE4D02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【英雄之功】</w:t>
      </w:r>
    </w:p>
    <w:p w14:paraId="620DDE9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玻利瓦尔的战斗足迹遍于南美洲北部和中部，他领导了委内瑞拉、哥伦比亚、厄瓜多尔、秘鲁、玻利维亚等地反抗殖民统治、争取民族独立的斗争，领导创建了委内瑞拉第二、第三共和国、大哥伦比亚共和国，先后当选为这些共和国的总统，玻利维亚共和国就是以他的姓氏命名的。人民尊称他为“解放者”。</w:t>
      </w:r>
    </w:p>
    <w:p w14:paraId="0950DACE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——摘编自《人民日报》</w:t>
      </w:r>
    </w:p>
    <w:p w14:paraId="44A70BA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【策略之智】</w:t>
      </w:r>
    </w:p>
    <w:p w14:paraId="101F620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1920年，甘地多次阐述非暴力不合作主张：“我们不采用暴力，因为真理的力量胜过刀剑。抵制英货、拒绝英国法庭与学校、手纺土布——这些看似消极的不合作，实则是积极的民族自决训练。只有当数百万印度人学会以自律和真理对抗不义之法，斯瓦拉杰（自治）才真正在我们心中降临，而不仅仅是政权移交。”这动员了城乡各阶层民众积极参与。</w:t>
      </w:r>
    </w:p>
    <w:p w14:paraId="59509E9F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——整理自甘地非暴力不合作思想</w:t>
      </w:r>
    </w:p>
    <w:p w14:paraId="38EAB69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【成功之魂】</w:t>
      </w:r>
    </w:p>
    <w:p w14:paraId="2AB3791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  1957年，加纳首任总统恩克鲁玛在独立庆典上宣告：“今天，加纳重获自由。但我要告诉你们——我们的独立，除非与整个非洲大陆的彻底解放联系在一起，否则毫无意义！”他在《非洲必须团结》一书中呼吁非洲各国要团结一致，实现非洲大陆真正的独立与繁荣。1963年非洲统一组织正式建立，积极推动非洲大陆去殖民化。</w:t>
      </w:r>
    </w:p>
    <w:p w14:paraId="69E5072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——摘编自新华网</w:t>
      </w:r>
    </w:p>
    <w:p w14:paraId="739608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根据材料一并结合所学知识，说说玻利瓦尔为何被尊称为“解放者”。</w:t>
      </w:r>
    </w:p>
    <w:p w14:paraId="03DB84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根据材料二，概括甘地非暴力不合作的主张。</w:t>
      </w:r>
    </w:p>
    <w:p w14:paraId="156740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根据材料三并结合所学知识，简述非洲国家独立运动的有利条件。</w:t>
      </w:r>
    </w:p>
    <w:p w14:paraId="6C1147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综合上述材料，谈谈民族解放运动对世界历史发展的积极影响。</w:t>
      </w:r>
    </w:p>
    <w:p w14:paraId="33A78CF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6B72A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E97E3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1634F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00088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7F2D0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AE6378"/>
    <w:rsid w:val="38274566"/>
    <w:rsid w:val="394C65BD"/>
    <w:rsid w:val="670E1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3</Pages>
  <Words>1905</Words>
  <Characters>2009</Characters>
  <Lines>0</Lines>
  <Paragraphs>0</Paragraphs>
  <TotalTime>0</TotalTime>
  <ScaleCrop>false</ScaleCrop>
  <LinksUpToDate>false</LinksUpToDate>
  <CharactersWithSpaces>2161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2026-09-13T13:37:57Z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{"ContentPropagator":"XKW","Label":"2","ProduceID":"4077987761169408","PropagateID":"59250846","ContentProducer":"XKW"}</vt:lpwstr>
  </property>
  <property fmtid="{D5CDD505-2E9C-101B-9397-08002B2CF9AE}" pid="3" name="album">
    <vt:lpwstr>rbm.xkw.com</vt:lpwstr>
  </property>
  <property fmtid="{D5CDD505-2E9C-101B-9397-08002B2CF9AE}" pid="4" name="author">
    <vt:lpwstr>rbm.xkw.com</vt:lpwstr>
  </property>
  <property fmtid="{D5CDD505-2E9C-101B-9397-08002B2CF9AE}" pid="5" name="company">
    <vt:lpwstr>学科网</vt:lpwstr>
  </property>
  <property fmtid="{D5CDD505-2E9C-101B-9397-08002B2CF9AE}" pid="6" name="copyright">
    <vt:lpwstr>学科网版权所有</vt:lpwstr>
  </property>
  <property fmtid="{D5CDD505-2E9C-101B-9397-08002B2CF9AE}" pid="7" name="KSOTemplateDocerSaveRecord">
    <vt:lpwstr>eyJoZGlkIjoiMjljNjk0N2RhMTc0NzI3ZTQwZWEyZWMyMzA2NzliMDQiLCJ1c2VySWQiOiI3ODUwOTA2ODcifQ==</vt:lpwstr>
  </property>
  <property fmtid="{D5CDD505-2E9C-101B-9397-08002B2CF9AE}" pid="8" name="KSOProductBuildVer">
    <vt:lpwstr>2052-12.1.0.28505</vt:lpwstr>
  </property>
  <property fmtid="{D5CDD505-2E9C-101B-9397-08002B2CF9AE}" pid="9" name="ICV">
    <vt:lpwstr>68177621ADC34232897A6EB7C3F8857F_12</vt:lpwstr>
  </property>
</Properties>
</file>