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235B3C">
      <w:pPr>
        <w:spacing w:line="360" w:lineRule="auto"/>
        <w:jc w:val="left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10782300</wp:posOffset>
            </wp:positionH>
            <wp:positionV relativeFrom="topMargin">
              <wp:posOffset>11074400</wp:posOffset>
            </wp:positionV>
            <wp:extent cx="393700" cy="342900"/>
            <wp:effectExtent l="0" t="0" r="6350" b="0"/>
            <wp:wrapNone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4"/>
        </w:rPr>
        <w:t>秘密★启用前</w:t>
      </w:r>
    </w:p>
    <w:p w14:paraId="7A82DB9F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年遂宁市初中毕业暨高中阶段学校招生考试</w:t>
      </w:r>
    </w:p>
    <w:p w14:paraId="1BEE3F3A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文科综合试卷</w:t>
      </w:r>
    </w:p>
    <w:p w14:paraId="0F13A87C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3EF5A832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文科综合共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160</w:t>
      </w:r>
      <w:r>
        <w:rPr>
          <w:rFonts w:ascii="宋体" w:hAnsi="宋体" w:eastAsia="宋体" w:cs="宋体"/>
          <w:b/>
          <w:color w:val="auto"/>
          <w:sz w:val="24"/>
        </w:rPr>
        <w:t>分，包括道德与法治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分、历史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分、地理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分、生命·生态·安全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分。考试时间共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140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31330BA2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答题前，考生务必将自己的学校、姓名和准考证号用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毫米的黑色墨迹签字笔填写在答题卡对应位置上，并检查条形码粘贴是否正确。</w:t>
      </w:r>
    </w:p>
    <w:p w14:paraId="05048719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选择题使用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铅笔涂在答题卡对应位置上，非选择题用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毫米黑色墨迹签字笔书写在答题卡对应位置上，超出答题区域书写的答案无效；在草稿纸、试题卷上答题无效。</w:t>
      </w:r>
    </w:p>
    <w:p w14:paraId="4FC2A86A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保持答题卡卡面清洁，不折叠、不破损。考试结束后，将本试卷和答题卡一并交回。</w:t>
      </w:r>
    </w:p>
    <w:p w14:paraId="0BADD064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地理部分</w:t>
      </w:r>
    </w:p>
    <w:p w14:paraId="5EE88BE7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一、选择题（每小题只有一个正确答案，每题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51B821D">
      <w:pPr>
        <w:spacing w:line="360" w:lineRule="auto"/>
        <w:ind w:firstLine="420"/>
        <w:jc w:val="left"/>
      </w:pPr>
      <w:r>
        <w:rPr>
          <w:rFonts w:ascii="Times New Roman" w:hAnsi="Times New Roman" w:eastAsia="Times New Roman" w:cs="Times New Roman"/>
          <w:color w:val="auto"/>
        </w:rPr>
        <w:t>2023</w:t>
      </w:r>
      <w:r>
        <w:rPr>
          <w:rFonts w:ascii="楷体" w:hAnsi="楷体" w:eastAsia="楷体" w:cs="楷体"/>
          <w:color w:val="auto"/>
        </w:rPr>
        <w:t>年</w:t>
      </w:r>
      <w:r>
        <w:rPr>
          <w:rFonts w:ascii="Times New Roman" w:hAnsi="Times New Roman" w:eastAsia="Times New Roman" w:cs="Times New Roman"/>
          <w:color w:val="auto"/>
        </w:rPr>
        <w:t>12</w:t>
      </w:r>
      <w:r>
        <w:rPr>
          <w:rFonts w:ascii="楷体" w:hAnsi="楷体" w:eastAsia="楷体" w:cs="楷体"/>
          <w:color w:val="auto"/>
        </w:rPr>
        <w:t>月</w:t>
      </w:r>
      <w:r>
        <w:rPr>
          <w:rFonts w:ascii="Times New Roman" w:hAnsi="Times New Roman" w:eastAsia="Times New Roman" w:cs="Times New Roman"/>
          <w:color w:val="auto"/>
        </w:rPr>
        <w:t>20</w:t>
      </w:r>
      <w:r>
        <w:rPr>
          <w:rFonts w:ascii="楷体" w:hAnsi="楷体" w:eastAsia="楷体" w:cs="楷体"/>
          <w:color w:val="auto"/>
        </w:rPr>
        <w:t>日世界第二大水电站白鹤滩水电站入选为“</w:t>
      </w:r>
      <w:r>
        <w:rPr>
          <w:rFonts w:ascii="Times New Roman" w:hAnsi="Times New Roman" w:eastAsia="Times New Roman" w:cs="Times New Roman"/>
          <w:color w:val="auto"/>
        </w:rPr>
        <w:t>2023</w:t>
      </w:r>
      <w:r>
        <w:rPr>
          <w:rFonts w:ascii="楷体" w:hAnsi="楷体" w:eastAsia="楷体" w:cs="楷体"/>
          <w:color w:val="auto"/>
        </w:rPr>
        <w:t>全球十大工程成就”，并在中国工程院院刊《工程》上发布。下图为长江上游某流域分布示意图。读图完成下面小题。</w:t>
      </w:r>
    </w:p>
    <w:p w14:paraId="0CA7DB79">
      <w:pPr>
        <w:spacing w:line="360" w:lineRule="auto"/>
        <w:jc w:val="left"/>
      </w:pPr>
      <w:r>
        <w:drawing>
          <wp:inline distT="0" distB="0" distL="114300" distR="114300">
            <wp:extent cx="3505200" cy="29146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1FDEBB">
      <w:pPr>
        <w:spacing w:line="360" w:lineRule="auto"/>
        <w:jc w:val="left"/>
        <w:textAlignment w:val="center"/>
        <w:rPr>
          <w:color w:val="auto"/>
        </w:rPr>
      </w:pPr>
      <w:r>
        <w:t xml:space="preserve">1. </w:t>
      </w:r>
      <w:r>
        <w:rPr>
          <w:rFonts w:ascii="宋体" w:hAnsi="宋体" w:eastAsia="宋体" w:cs="宋体"/>
          <w:color w:val="auto"/>
        </w:rPr>
        <w:t>白鹤滩水电站位于（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55E1DAD7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102</w:t>
      </w:r>
      <w:r>
        <w:rPr>
          <w:rFonts w:ascii="宋体" w:hAnsi="宋体" w:eastAsia="宋体" w:cs="宋体"/>
          <w:color w:val="auto"/>
        </w:rPr>
        <w:t>°</w:t>
      </w:r>
      <w:r>
        <w:rPr>
          <w:rFonts w:ascii="Times New Roman" w:hAnsi="Times New Roman" w:eastAsia="Times New Roman" w:cs="Times New Roman"/>
          <w:color w:val="auto"/>
        </w:rPr>
        <w:t>93</w:t>
      </w:r>
      <w:r>
        <w:rPr>
          <w:rFonts w:ascii="宋体" w:hAnsi="宋体" w:eastAsia="宋体" w:cs="宋体"/>
          <w:color w:val="auto"/>
        </w:rPr>
        <w:t>′</w:t>
      </w:r>
      <w:r>
        <w:rPr>
          <w:rFonts w:ascii="Times New Roman" w:hAnsi="Times New Roman" w:eastAsia="Times New Roman" w:cs="Times New Roman"/>
          <w:color w:val="auto"/>
        </w:rPr>
        <w:t>E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26</w:t>
      </w:r>
      <w:r>
        <w:rPr>
          <w:rFonts w:ascii="宋体" w:hAnsi="宋体" w:eastAsia="宋体" w:cs="宋体"/>
          <w:color w:val="auto"/>
        </w:rPr>
        <w:t>°</w:t>
      </w:r>
      <w:r>
        <w:rPr>
          <w:rFonts w:ascii="Times New Roman" w:hAnsi="Times New Roman" w:eastAsia="Times New Roman" w:cs="Times New Roman"/>
          <w:color w:val="auto"/>
        </w:rPr>
        <w:t>91</w:t>
      </w:r>
      <w:r>
        <w:rPr>
          <w:rFonts w:ascii="宋体" w:hAnsi="宋体" w:eastAsia="宋体" w:cs="宋体"/>
          <w:color w:val="auto"/>
        </w:rPr>
        <w:t>′</w:t>
      </w:r>
      <w:r>
        <w:rPr>
          <w:rFonts w:ascii="Times New Roman" w:hAnsi="Times New Roman" w:eastAsia="Times New Roman" w:cs="Times New Roman"/>
          <w:color w:val="auto"/>
        </w:rPr>
        <w:t>N</w:t>
      </w:r>
      <w:r>
        <w:rPr>
          <w:rFonts w:ascii="宋体" w:hAnsi="宋体" w:eastAsia="宋体" w:cs="宋体"/>
          <w:color w:val="auto"/>
        </w:rPr>
        <w:t>）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102</w:t>
      </w:r>
      <w:r>
        <w:rPr>
          <w:rFonts w:ascii="宋体" w:hAnsi="宋体" w:eastAsia="宋体" w:cs="宋体"/>
          <w:color w:val="auto"/>
        </w:rPr>
        <w:t>°</w:t>
      </w:r>
      <w:r>
        <w:rPr>
          <w:rFonts w:ascii="Times New Roman" w:hAnsi="Times New Roman" w:eastAsia="Times New Roman" w:cs="Times New Roman"/>
          <w:color w:val="auto"/>
        </w:rPr>
        <w:t>93</w:t>
      </w:r>
      <w:r>
        <w:rPr>
          <w:rFonts w:ascii="宋体" w:hAnsi="宋体" w:eastAsia="宋体" w:cs="宋体"/>
          <w:color w:val="auto"/>
        </w:rPr>
        <w:t>′</w:t>
      </w:r>
      <w:r>
        <w:rPr>
          <w:rFonts w:ascii="Times New Roman" w:hAnsi="Times New Roman" w:eastAsia="Times New Roman" w:cs="Times New Roman"/>
          <w:color w:val="auto"/>
        </w:rPr>
        <w:t>E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26</w:t>
      </w:r>
      <w:r>
        <w:rPr>
          <w:rFonts w:ascii="宋体" w:hAnsi="宋体" w:eastAsia="宋体" w:cs="宋体"/>
          <w:color w:val="auto"/>
        </w:rPr>
        <w:t>°</w:t>
      </w:r>
      <w:r>
        <w:rPr>
          <w:rFonts w:ascii="Times New Roman" w:hAnsi="Times New Roman" w:eastAsia="Times New Roman" w:cs="Times New Roman"/>
          <w:color w:val="auto"/>
        </w:rPr>
        <w:t>91</w:t>
      </w:r>
      <w:r>
        <w:rPr>
          <w:rFonts w:ascii="宋体" w:hAnsi="宋体" w:eastAsia="宋体" w:cs="宋体"/>
          <w:color w:val="auto"/>
        </w:rPr>
        <w:t>′</w:t>
      </w:r>
      <w:r>
        <w:rPr>
          <w:rFonts w:ascii="Times New Roman" w:hAnsi="Times New Roman" w:eastAsia="Times New Roman" w:cs="Times New Roman"/>
          <w:color w:val="auto"/>
        </w:rPr>
        <w:t>S</w:t>
      </w:r>
      <w:r>
        <w:rPr>
          <w:rFonts w:ascii="宋体" w:hAnsi="宋体" w:eastAsia="宋体" w:cs="宋体"/>
          <w:color w:val="auto"/>
        </w:rPr>
        <w:t>）</w:t>
      </w:r>
    </w:p>
    <w:p w14:paraId="495CDE97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102</w:t>
      </w:r>
      <w:r>
        <w:rPr>
          <w:rFonts w:ascii="宋体" w:hAnsi="宋体" w:eastAsia="宋体" w:cs="宋体"/>
          <w:color w:val="auto"/>
        </w:rPr>
        <w:t>°</w:t>
      </w:r>
      <w:r>
        <w:rPr>
          <w:rFonts w:ascii="Times New Roman" w:hAnsi="Times New Roman" w:eastAsia="Times New Roman" w:cs="Times New Roman"/>
          <w:color w:val="auto"/>
        </w:rPr>
        <w:t>93</w:t>
      </w:r>
      <w:r>
        <w:rPr>
          <w:rFonts w:ascii="宋体" w:hAnsi="宋体" w:eastAsia="宋体" w:cs="宋体"/>
          <w:color w:val="auto"/>
        </w:rPr>
        <w:t>′</w:t>
      </w:r>
      <w:r>
        <w:rPr>
          <w:rFonts w:ascii="Times New Roman" w:hAnsi="Times New Roman" w:eastAsia="Times New Roman" w:cs="Times New Roman"/>
          <w:color w:val="auto"/>
        </w:rPr>
        <w:t>W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26</w:t>
      </w:r>
      <w:r>
        <w:rPr>
          <w:rFonts w:ascii="宋体" w:hAnsi="宋体" w:eastAsia="宋体" w:cs="宋体"/>
          <w:color w:val="auto"/>
        </w:rPr>
        <w:t>°</w:t>
      </w:r>
      <w:r>
        <w:rPr>
          <w:rFonts w:ascii="Times New Roman" w:hAnsi="Times New Roman" w:eastAsia="Times New Roman" w:cs="Times New Roman"/>
          <w:color w:val="auto"/>
        </w:rPr>
        <w:t>91</w:t>
      </w:r>
      <w:r>
        <w:rPr>
          <w:rFonts w:ascii="宋体" w:hAnsi="宋体" w:eastAsia="宋体" w:cs="宋体"/>
          <w:color w:val="auto"/>
        </w:rPr>
        <w:t>′</w:t>
      </w:r>
      <w:r>
        <w:rPr>
          <w:rFonts w:ascii="Times New Roman" w:hAnsi="Times New Roman" w:eastAsia="Times New Roman" w:cs="Times New Roman"/>
          <w:color w:val="auto"/>
        </w:rPr>
        <w:t>N</w:t>
      </w:r>
      <w:r>
        <w:rPr>
          <w:rFonts w:ascii="宋体" w:hAnsi="宋体" w:eastAsia="宋体" w:cs="宋体"/>
          <w:color w:val="auto"/>
        </w:rPr>
        <w:t>）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102</w:t>
      </w:r>
      <w:r>
        <w:rPr>
          <w:rFonts w:ascii="宋体" w:hAnsi="宋体" w:eastAsia="宋体" w:cs="宋体"/>
          <w:color w:val="auto"/>
        </w:rPr>
        <w:t>°</w:t>
      </w:r>
      <w:r>
        <w:rPr>
          <w:rFonts w:ascii="Times New Roman" w:hAnsi="Times New Roman" w:eastAsia="Times New Roman" w:cs="Times New Roman"/>
          <w:color w:val="auto"/>
        </w:rPr>
        <w:t>93</w:t>
      </w:r>
      <w:r>
        <w:rPr>
          <w:rFonts w:ascii="宋体" w:hAnsi="宋体" w:eastAsia="宋体" w:cs="宋体"/>
          <w:color w:val="auto"/>
        </w:rPr>
        <w:t>′</w:t>
      </w:r>
      <w:r>
        <w:rPr>
          <w:rFonts w:ascii="Times New Roman" w:hAnsi="Times New Roman" w:eastAsia="Times New Roman" w:cs="Times New Roman"/>
          <w:color w:val="auto"/>
        </w:rPr>
        <w:t>W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26</w:t>
      </w:r>
      <w:r>
        <w:rPr>
          <w:rFonts w:ascii="宋体" w:hAnsi="宋体" w:eastAsia="宋体" w:cs="宋体"/>
          <w:color w:val="auto"/>
        </w:rPr>
        <w:t>°</w:t>
      </w:r>
      <w:r>
        <w:rPr>
          <w:rFonts w:ascii="Times New Roman" w:hAnsi="Times New Roman" w:eastAsia="Times New Roman" w:cs="Times New Roman"/>
          <w:color w:val="auto"/>
        </w:rPr>
        <w:t>91</w:t>
      </w:r>
      <w:r>
        <w:rPr>
          <w:rFonts w:ascii="宋体" w:hAnsi="宋体" w:eastAsia="宋体" w:cs="宋体"/>
          <w:color w:val="auto"/>
        </w:rPr>
        <w:t>′</w:t>
      </w:r>
      <w:r>
        <w:rPr>
          <w:rFonts w:ascii="Times New Roman" w:hAnsi="Times New Roman" w:eastAsia="Times New Roman" w:cs="Times New Roman"/>
          <w:color w:val="auto"/>
        </w:rPr>
        <w:t>S</w:t>
      </w:r>
      <w:r>
        <w:rPr>
          <w:rFonts w:ascii="宋体" w:hAnsi="宋体" w:eastAsia="宋体" w:cs="宋体"/>
          <w:color w:val="auto"/>
        </w:rPr>
        <w:t>）</w:t>
      </w:r>
    </w:p>
    <w:p w14:paraId="4009BDE6">
      <w:pPr>
        <w:spacing w:line="360" w:lineRule="auto"/>
        <w:jc w:val="left"/>
        <w:textAlignment w:val="center"/>
        <w:rPr>
          <w:color w:val="auto"/>
        </w:rPr>
      </w:pPr>
      <w:r>
        <w:t xml:space="preserve">2. </w:t>
      </w:r>
      <w:r>
        <w:rPr>
          <w:rFonts w:ascii="宋体" w:hAnsi="宋体" w:eastAsia="宋体" w:cs="宋体"/>
          <w:color w:val="auto"/>
        </w:rPr>
        <w:t>在白鹤滩选址修建水电站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主要优势条件有（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114F3613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①地势落差较大②河流结冰期较短③河流水量丰富④河流含沙量较小</w:t>
      </w:r>
    </w:p>
    <w:p w14:paraId="7910550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①②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①③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②④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③④</w:t>
      </w:r>
    </w:p>
    <w:p w14:paraId="348A71C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近年来，中国航天事业的发展再创新高。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楷体" w:hAnsi="楷体" w:eastAsia="楷体" w:cs="楷体"/>
          <w:color w:val="000000"/>
        </w:rPr>
        <w:t>日神舟十八号载人飞船发射取得圆满成功。遂宁的师生通过收看新闻联播见证了这一激动人心的时刻。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楷体" w:hAnsi="楷体" w:eastAsia="楷体" w:cs="楷体"/>
          <w:color w:val="000000"/>
        </w:rPr>
        <w:t>日神舟十八号航天员圆满完成第一次出轮任务。图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为地球公转示意图，图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楷体" w:hAnsi="楷体" w:eastAsia="楷体" w:cs="楷体"/>
          <w:color w:val="000000"/>
        </w:rPr>
        <w:t>为地球卫星困片。读困完成下面小题。</w:t>
      </w:r>
    </w:p>
    <w:p w14:paraId="03F062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298700"/>
            <wp:effectExtent l="0" t="0" r="0" b="635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299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2BC0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从神舟十八号载人飞船发射当日到航天员第一次出舱期间（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82EB0C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遂宁的白天比黑夜更短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地球正运转至②段</w:t>
      </w:r>
    </w:p>
    <w:p w14:paraId="32CB70D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遂宁学生正午影子变长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遂宁白天越来越长</w:t>
      </w:r>
    </w:p>
    <w:p w14:paraId="2A7F6B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在地球卫星图片（图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）中，我们观察到（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E1ED4A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陆地多于海洋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点正值傍晚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北极出现极夜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地球由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转向</w:t>
      </w:r>
      <w:r>
        <w:rPr>
          <w:rFonts w:ascii="Times New Roman" w:hAnsi="Times New Roman" w:eastAsia="Times New Roman" w:cs="Times New Roman"/>
          <w:color w:val="000000"/>
        </w:rPr>
        <w:t>A</w:t>
      </w:r>
    </w:p>
    <w:p w14:paraId="3A13124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66</w:t>
      </w:r>
      <w:r>
        <w:rPr>
          <w:rFonts w:ascii="楷体" w:hAnsi="楷体" w:eastAsia="楷体" w:cs="楷体"/>
          <w:color w:val="000000"/>
        </w:rPr>
        <w:t>号公路东起芝加哥，西至洛杉矶，全长约</w:t>
      </w:r>
      <w:r>
        <w:rPr>
          <w:rFonts w:ascii="Times New Roman" w:hAnsi="Times New Roman" w:eastAsia="Times New Roman" w:cs="Times New Roman"/>
          <w:color w:val="000000"/>
        </w:rPr>
        <w:t>3943</w:t>
      </w:r>
      <w:r>
        <w:rPr>
          <w:rFonts w:ascii="楷体" w:hAnsi="楷体" w:eastAsia="楷体" w:cs="楷体"/>
          <w:color w:val="000000"/>
        </w:rPr>
        <w:t>千米，是连接美国本土东西部重要的交通干线下图为</w:t>
      </w:r>
      <w:r>
        <w:rPr>
          <w:rFonts w:ascii="Times New Roman" w:hAnsi="Times New Roman" w:eastAsia="Times New Roman" w:cs="Times New Roman"/>
          <w:color w:val="000000"/>
        </w:rPr>
        <w:t>66</w:t>
      </w:r>
      <w:r>
        <w:rPr>
          <w:rFonts w:ascii="楷体" w:hAnsi="楷体" w:eastAsia="楷体" w:cs="楷体"/>
          <w:color w:val="000000"/>
        </w:rPr>
        <w:t>号公路分布示意图，读图完成下面小题。</w:t>
      </w:r>
    </w:p>
    <w:p w14:paraId="4D73A3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05275" cy="27813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17D9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5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66</w:t>
      </w:r>
      <w:r>
        <w:rPr>
          <w:rFonts w:ascii="宋体" w:hAnsi="宋体" w:eastAsia="宋体" w:cs="宋体"/>
          <w:color w:val="000000"/>
        </w:rPr>
        <w:t>号公路（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6D1448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东部路段多隧道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西部路段坡度较小</w:t>
      </w:r>
    </w:p>
    <w:p w14:paraId="56692C1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到达了美国硅谷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穿过了密西西比河</w:t>
      </w:r>
    </w:p>
    <w:p w14:paraId="4B2078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沿</w:t>
      </w:r>
      <w:r>
        <w:rPr>
          <w:rFonts w:ascii="Times New Roman" w:hAnsi="Times New Roman" w:eastAsia="Times New Roman" w:cs="Times New Roman"/>
          <w:color w:val="000000"/>
        </w:rPr>
        <w:t>66</w:t>
      </w:r>
      <w:r>
        <w:rPr>
          <w:rFonts w:ascii="宋体" w:hAnsi="宋体" w:eastAsia="宋体" w:cs="宋体"/>
          <w:color w:val="000000"/>
        </w:rPr>
        <w:t>号公路到东北地区，当地乳畜业发达。其发展的优势条件有（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B1E20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①气候冷湿，牧草茂盛②劳动力丰富，便于加工</w:t>
      </w:r>
    </w:p>
    <w:p w14:paraId="18AB69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③城市密集，市场广阔④靠近玉米带，饲料充足</w:t>
      </w:r>
    </w:p>
    <w:p w14:paraId="60AE92F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4FD4DE7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“和平方舟”号医院船是中国专门为海上医疗救护的专业大型医院船。该船先后为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楷体" w:hAnsi="楷体" w:eastAsia="楷体" w:cs="楷体"/>
          <w:color w:val="000000"/>
        </w:rPr>
        <w:t>个国家和地区提供免费人道主义医疗服务。处处践行构建人类命运共同体的理念，体现出大国的担当。下图为该船访问的部分国家和地区分布示意图，读图完成下面小题。</w:t>
      </w:r>
    </w:p>
    <w:p w14:paraId="78699C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86250" cy="28765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884A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“和平方舟”号医院船访问的国家和地区主要分布在（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4FB331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西半球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热带地区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大西洋沿岸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亚洲南部</w:t>
      </w:r>
    </w:p>
    <w:p w14:paraId="62DA58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“和平方舟”号医院船对外服务有利于（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B68DD8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与当地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文化交流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增加当地就业机会</w:t>
      </w:r>
    </w:p>
    <w:p w14:paraId="41FDD5E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提高当地人口素质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改善当地生态环境</w:t>
      </w:r>
    </w:p>
    <w:p w14:paraId="517090D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“红军不怕远征难，万水千山只等闲”。毛主席的《七律·长征》带领我们回顾长征历程，铭记长征精神。下图为中央红军长征路线示意图，读图完成下面小题。</w:t>
      </w:r>
    </w:p>
    <w:p w14:paraId="2B3C2B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52800" cy="30289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5C7A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在图示的长征途中，长征路线分布最长省份是（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D271A6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江西省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湖南省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四川省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甘肃省</w:t>
      </w:r>
    </w:p>
    <w:p w14:paraId="32DD19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红军长征经过的地区地势险峻，气候恶劣，途中最可能会遇到的自然灾害有（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DAF582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五岭一寒潮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乌蒙山一台风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岷山一冻害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松潘草地一泥石流</w:t>
      </w:r>
    </w:p>
    <w:p w14:paraId="508B53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二、读图分析题（共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2A601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日《中华人民共和国黄河保护法》正式施行。随着人们对黄土高原水土流失的治理，黄河水愈发清澈。某中学地理实践小组以“保护母亲河，高原换绿装”为主题对图中黄土高原某流域展开实地探究活动。读图完成探究的内容。</w:t>
      </w:r>
    </w:p>
    <w:p w14:paraId="158675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24325" cy="30384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E641B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探究一：区域认知话环境</w:t>
      </w:r>
    </w:p>
    <w:p w14:paraId="514790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图中河流干流自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向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流；</w:t>
      </w:r>
    </w:p>
    <w:p w14:paraId="035394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从山体地形部位的角度看，地理实践小组的驻扎点位于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，该驻扎点与水文检测点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的相对高度范围是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米。</w:t>
      </w:r>
    </w:p>
    <w:p w14:paraId="0977851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探究二：新绿高原建生态</w:t>
      </w:r>
    </w:p>
    <w:p w14:paraId="5147D3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在探究过程中，实践小组测得水文检测点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含沙量明显高于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点。请结合图中信息分析其原因：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（任写两条）；为促进当地生态环境建设，请你针对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点水土流失的问题提出一条有效的治理措施：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36B6D87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探究三：能源输送活经济</w:t>
      </w:r>
    </w:p>
    <w:p w14:paraId="5A0AAB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实践小组还发现当地是者名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420551684" name="图片 14205516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0551684" name="图片 142055168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煤炭输出地。请你分析，与把煤通过铁路和公路运输出去相比，将煤转化成电力和煤气输送出去，具有哪些优势：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58CF25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兰新高铁东起兰州，西至乌鲁木齐，全长</w:t>
      </w:r>
      <w:r>
        <w:rPr>
          <w:rFonts w:ascii="Times New Roman" w:hAnsi="Times New Roman" w:eastAsia="Times New Roman" w:cs="Times New Roman"/>
          <w:color w:val="000000"/>
        </w:rPr>
        <w:t>1776km</w:t>
      </w:r>
      <w:r>
        <w:rPr>
          <w:rFonts w:ascii="宋体" w:hAnsi="宋体" w:eastAsia="宋体" w:cs="宋体"/>
          <w:color w:val="000000"/>
        </w:rPr>
        <w:t>，是我国首条在高海拔地区修建的高速铁路。它穿越了西北地区和青藏地区，沿途风景独特，令人流连忘返。暑假，小宇从兰州出发，乘兰新高铁一路向西，来了一场别样的旅行。图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为兰新高铁分布示意图，图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为小宇拍摄的照片。读图完成下列各小题。</w:t>
      </w:r>
    </w:p>
    <w:p w14:paraId="3FA27C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55079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551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E4A62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【旅行攻略篇】</w:t>
      </w:r>
    </w:p>
    <w:p w14:paraId="7FD1A1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出行前，小宇做了以下攻略：</w:t>
      </w:r>
    </w:p>
    <w:p w14:paraId="359872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查地图：新疆的地形以山地和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为主；</w:t>
      </w:r>
    </w:p>
    <w:p w14:paraId="2ED2EB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定行程：制定了“兰州一西宁一张掖一酒泉一哈密一乌鲁木齐”的旅行路线：</w:t>
      </w:r>
    </w:p>
    <w:p w14:paraId="3164A7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带装备：防晒霜、墨镜、遮阳伞、氧气袋、羽绒服等。途中在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城市最有可能会用到氧气袋和羽绒服。</w:t>
      </w:r>
    </w:p>
    <w:p w14:paraId="7D80A79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【旅行猎奇篇】</w:t>
      </w:r>
    </w:p>
    <w:p w14:paraId="012817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是小宇在湟水谷地拍摄的照片，该区域种植青稞主要的优势条件是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充足；此外小宇在西宁附近参观了光伏牧场（图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），请分析当地太阳能丰富的原因：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6CAD301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【旅行美食篇】</w:t>
      </w:r>
    </w:p>
    <w:p w14:paraId="797412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在西宁，小宇品尝了当地的特色牛肉干，其食材来源于被誉为“高原之舟”的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；在哈密，小宇尝到当地的哈密瓜特别甜，请分析其原因：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05B933D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【旅行收获篇】</w:t>
      </w:r>
    </w:p>
    <w:p w14:paraId="1C2587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是小宇在新疆拍摄的照片，在地面上修建隧道，在铁路旁修建防护墙，其目的是为了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，照片中反映出当地土地荒漠化严重，请你提出一条有效的治理措施。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9003C3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011092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04F669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C251BA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C03567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6774C8C"/>
    <w:rsid w:val="38274566"/>
    <w:rsid w:val="472900A0"/>
    <w:rsid w:val="5D763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1" Type="http://schemas.openxmlformats.org/officeDocument/2006/relationships/fontTable" Target="fontTable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2188</Words>
  <Characters>2357</Characters>
  <Lines>0</Lines>
  <Paragraphs>0</Paragraphs>
  <TotalTime>5</TotalTime>
  <ScaleCrop>false</ScaleCrop>
  <LinksUpToDate>false</LinksUpToDate>
  <CharactersWithSpaces>2465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2024-06-15T11:11:00Z</dcterms:created>
  <dc:creator>学科网试题生产平台</dc:creator>
  <dc:description>3518682452287488</dc:description>
  <cp:lastModifiedBy>上帝掷骰子吗</cp:lastModifiedBy>
  <dcterms:modified xsi:type="dcterms:W3CDTF">2026-02-09T06:10:30Z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990E4F580DC244ADB45599A0AF31323E_12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