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DA30E4">
      <w:pPr>
        <w:spacing w:before="300" w:line="360" w:lineRule="auto"/>
        <w:jc w:val="center"/>
        <w:textAlignment w:val="center"/>
      </w:pPr>
      <w:bookmarkStart w:id="0" w:name="_GoBack"/>
      <w:bookmarkEnd w:id="0"/>
      <w:r>
        <w:rPr>
          <w:rFonts w:ascii="Helvetica" w:hAnsi="Helvetica" w:eastAsia="Helvetica" w:cs="Helvetica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11163300</wp:posOffset>
            </wp:positionH>
            <wp:positionV relativeFrom="topMargin">
              <wp:posOffset>12153900</wp:posOffset>
            </wp:positionV>
            <wp:extent cx="419100" cy="279400"/>
            <wp:effectExtent l="0" t="0" r="0" b="6350"/>
            <wp:wrapNone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Helvetica" w:hAnsi="Helvetica" w:eastAsia="Helvetica" w:cs="Helvetica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12052300</wp:posOffset>
            </wp:positionH>
            <wp:positionV relativeFrom="topMargin">
              <wp:posOffset>10375900</wp:posOffset>
            </wp:positionV>
            <wp:extent cx="355600" cy="419100"/>
            <wp:effectExtent l="0" t="0" r="6350" b="0"/>
            <wp:wrapNone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Helvetica" w:hAnsi="Helvetica" w:eastAsia="Helvetica" w:cs="Helvetica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年四川省南充市中考道德与法治真题</w:t>
      </w:r>
    </w:p>
    <w:p w14:paraId="7A2F5488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．文科综合为闭卷考试，包括道德与法治、历史两部分，满分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200</w:t>
      </w:r>
      <w:r>
        <w:rPr>
          <w:rFonts w:ascii="宋体" w:hAnsi="宋体" w:eastAsia="宋体" w:cs="宋体"/>
          <w:b/>
          <w:color w:val="auto"/>
          <w:sz w:val="24"/>
        </w:rPr>
        <w:t>分。其中道德与法治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分（按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分折合计入总成绩），历史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分（按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分折合计入总成绩）。考试时间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04CB4E8F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．答题前将姓名、座位号、身份证号、准考证号填在答题卡指定位置。</w:t>
      </w:r>
    </w:p>
    <w:p w14:paraId="084F9A26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．所有解答内容均需涂、写在答题卡上。</w:t>
      </w:r>
    </w:p>
    <w:p w14:paraId="48330BEC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．选择题须用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铅笔将答题卡相应题号对应选项涂黑，若需改动，须擦净另涂。</w:t>
      </w:r>
    </w:p>
    <w:p w14:paraId="44C132FC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．非选择题在答题卡对应题号位置用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毫米黑色字迹笔书写。</w:t>
      </w:r>
    </w:p>
    <w:p w14:paraId="770C536B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一、单项选择题（下列各题只有一个选项最符合题意，请在答题卡上填涂你的选择项。每小题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069EF02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某班级组织开展“与经典对话”主题阅读活动。以下是小荣同学收集的素材。</w:t>
      </w:r>
    </w:p>
    <w:tbl>
      <w:tblPr>
        <w:tblStyle w:val="4"/>
        <w:tblW w:w="455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379"/>
        <w:gridCol w:w="2481"/>
      </w:tblGrid>
      <w:tr w14:paraId="081DE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36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0030F0">
            <w:pPr>
              <w:spacing w:line="360" w:lineRule="auto"/>
              <w:jc w:val="both"/>
              <w:textAlignment w:val="center"/>
            </w:pPr>
            <w:r>
              <w:rPr>
                <w:rFonts w:ascii="宋体" w:hAnsi="宋体" w:eastAsia="宋体" w:cs="宋体"/>
                <w:color w:val="auto"/>
              </w:rPr>
              <w:t>天行健，君子以自强不息。</w:t>
            </w:r>
          </w:p>
          <w:p w14:paraId="6306D328">
            <w:pPr>
              <w:spacing w:line="360" w:lineRule="auto"/>
              <w:jc w:val="both"/>
              <w:textAlignment w:val="center"/>
            </w:pPr>
            <w:r>
              <w:rPr>
                <w:rFonts w:ascii="宋体" w:hAnsi="宋体" w:eastAsia="宋体" w:cs="宋体"/>
                <w:color w:val="auto"/>
              </w:rPr>
              <w:t>天生我材必有用，千金散尽还复来。</w:t>
            </w:r>
          </w:p>
        </w:tc>
        <w:tc>
          <w:tcPr>
            <w:tcW w:w="14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5FAE99">
            <w:pPr>
              <w:spacing w:line="360" w:lineRule="auto"/>
              <w:jc w:val="both"/>
              <w:textAlignment w:val="center"/>
            </w:pPr>
            <w:r>
              <w:rPr>
                <w:rFonts w:ascii="宋体" w:hAnsi="宋体" w:eastAsia="宋体" w:cs="宋体"/>
                <w:color w:val="auto"/>
              </w:rPr>
              <w:t>——《周易》</w:t>
            </w:r>
          </w:p>
          <w:p w14:paraId="0936B738">
            <w:pPr>
              <w:spacing w:line="360" w:lineRule="auto"/>
              <w:jc w:val="both"/>
              <w:textAlignment w:val="center"/>
            </w:pPr>
            <w:r>
              <w:rPr>
                <w:rFonts w:ascii="宋体" w:hAnsi="宋体" w:eastAsia="宋体" w:cs="宋体"/>
                <w:color w:val="auto"/>
              </w:rPr>
              <w:t>——李白《将进酒》</w:t>
            </w:r>
          </w:p>
        </w:tc>
      </w:tr>
    </w:tbl>
    <w:p w14:paraId="48C3CF43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color w:val="auto"/>
        </w:rPr>
        <w:t>他想展示的主题可能是（     ）</w:t>
      </w:r>
    </w:p>
    <w:p w14:paraId="62FFFC0A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自信自强给人力量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宽容友爱结交朋友</w:t>
      </w:r>
    </w:p>
    <w:p w14:paraId="7BAE354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青春有格行己有耻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欣赏自己自傲自负</w:t>
      </w:r>
    </w:p>
    <w:p w14:paraId="2CBE15E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“我们就像三块不同的拼图，拼成了严丝合缝的、最有力量的整体。”“要在乘组配合上做到1＋1＋1＝1，在技术能力上实现1＋1＋1＞3。”这既是神舟二十三号航天员乘组的真实写照，更是中国航天事业行稳致远的精神表达。这说明（     ）</w:t>
      </w:r>
    </w:p>
    <w:p w14:paraId="0369E33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①集体力量来源于成员的共同目标和团结协作    </w:t>
      </w:r>
    </w:p>
    <w:p w14:paraId="7D228F6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②集体的强大合力产生于成员之间的简单相加</w:t>
      </w:r>
    </w:p>
    <w:p w14:paraId="182CF0B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③集体建设需要成员间的共同愿望和自觉行动    </w:t>
      </w:r>
    </w:p>
    <w:p w14:paraId="6399830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④美好集体能提供个人发展所需要的一切条件</w:t>
      </w:r>
    </w:p>
    <w:p w14:paraId="60EB249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1409A2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2026年春假期间，我市学生积极走向田野、走进社会，有的参加劳动实践，有的参加志愿服务活动，有的游览祖国的大好河山……丰富多彩的春假活动有利于促进学生（     ）</w:t>
      </w:r>
    </w:p>
    <w:p w14:paraId="05D4B20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①加强体验，掌握全部技能    ②增长见识，更好亲近社会</w:t>
      </w:r>
    </w:p>
    <w:p w14:paraId="4B08D05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③拓宽视野，获得物质支持    ④知行合一，实现素养积淀</w:t>
      </w:r>
    </w:p>
    <w:p w14:paraId="45EB83F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09A493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面对人工智能，你想对如图漫画中的小主人说（     ）</w:t>
      </w:r>
    </w:p>
    <w:p w14:paraId="04872C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90750" cy="18192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E3AC9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①应坚决不用，会影响知识学习    ②应理性看待，要避免盲信盲从</w:t>
      </w:r>
    </w:p>
    <w:p w14:paraId="3380750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③要经常使用，能提供学习捷径    ④要合理使用，更好服务于学习</w:t>
      </w:r>
    </w:p>
    <w:p w14:paraId="4618285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5782B2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2025年12月1日—12月7日是第八个“宪法宣传周”。某中学组织开展专题宣讲、模拟法庭、主题班会等一系列生动而深刻的宪法学习宣传活动。该活动（     ）</w:t>
      </w:r>
    </w:p>
    <w:p w14:paraId="22B6F8E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①筑牢了法治防线，杜绝了未成年人犯罪    ②营造了法治环境，增强了学生宪法意识</w:t>
      </w:r>
    </w:p>
    <w:p w14:paraId="76C170D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③增添了普法趣味，提升了法治教育实效    ④增进了宪法认同，推动了学生践行宪法</w:t>
      </w:r>
    </w:p>
    <w:p w14:paraId="0117FDB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0750ED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以下是某小区解决“老旧小区加装电梯”问题的生动实践。该实践好在（     ）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14"/>
        <w:gridCol w:w="450"/>
        <w:gridCol w:w="2777"/>
        <w:gridCol w:w="450"/>
        <w:gridCol w:w="1902"/>
        <w:gridCol w:w="451"/>
        <w:gridCol w:w="2292"/>
      </w:tblGrid>
      <w:tr w14:paraId="65B64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7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5EFD0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居民代表组成议事会</w:t>
            </w:r>
          </w:p>
        </w:tc>
        <w:tc>
          <w:tcPr>
            <w:tcW w:w="200" w:type="pct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1B51E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→</w:t>
            </w:r>
          </w:p>
        </w:tc>
        <w:tc>
          <w:tcPr>
            <w:tcW w:w="14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944B8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多次商议、集思广益、达成共识、形成方案</w:t>
            </w:r>
          </w:p>
        </w:tc>
        <w:tc>
          <w:tcPr>
            <w:tcW w:w="200" w:type="pct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0083D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→</w:t>
            </w:r>
          </w:p>
        </w:tc>
        <w:tc>
          <w:tcPr>
            <w:tcW w:w="1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B2AA2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居民代表监督经费使用等环节</w:t>
            </w:r>
          </w:p>
        </w:tc>
        <w:tc>
          <w:tcPr>
            <w:tcW w:w="200" w:type="pct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8A966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→</w:t>
            </w:r>
          </w:p>
        </w:tc>
        <w:tc>
          <w:tcPr>
            <w:tcW w:w="12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B9F56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安装电梯10部，极大方便居民生活</w:t>
            </w:r>
          </w:p>
        </w:tc>
      </w:tr>
    </w:tbl>
    <w:p w14:paraId="124F6B6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①众人的事情由众人商量    ②人民间接行使了民主权利</w:t>
      </w:r>
    </w:p>
    <w:p w14:paraId="1FBC52F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③群众广泛参与居民自治    ④完善了人民代表大会制度</w:t>
      </w:r>
    </w:p>
    <w:p w14:paraId="41D1A8A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0E78C9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以下是“十五五”规划纲要部分重大战略任务。确定这些战略任务旨在（     ）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325"/>
      </w:tblGrid>
      <w:tr w14:paraId="7D6CB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83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152A5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☆深入推进数字中国建设，数字经济核心产业增加值占国内生产总值比重达到12.5%。</w:t>
            </w:r>
          </w:p>
          <w:p w14:paraId="7DD8C68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☆着眼缩小区域差距和城乡差别，加快农业农村现代化。</w:t>
            </w:r>
          </w:p>
          <w:p w14:paraId="22A94D9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☆着眼畅通国内国际双循环，统筹用好全球要素和市场资源。</w:t>
            </w:r>
          </w:p>
          <w:p w14:paraId="7E0EE75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☆着眼促进人民精神生活共同富裕，弘扬和践行社会主义核心价值观。</w:t>
            </w:r>
          </w:p>
        </w:tc>
      </w:tr>
    </w:tbl>
    <w:p w14:paraId="42F465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①调整优化产业结构，推动经济高质量发展    ②缩小城乡之间的差别，实现城乡同步富裕</w:t>
      </w:r>
    </w:p>
    <w:p w14:paraId="13D4D5E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③以扩大内需为战略基点，构建新发展格局    ④培育和践行共同价值追求，引领社会进步</w:t>
      </w:r>
    </w:p>
    <w:p w14:paraId="79AB30A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21B1DF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2025年，我市505项政务服务事项实现无差别综窗受理，213项事项实现24小时线下“自助办”，企业开办实现半日办结，一般社会投资项目审批时间压缩至11.7天。这有利于（     ）</w:t>
      </w:r>
    </w:p>
    <w:p w14:paraId="74E8F52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坚持依法行政，推进法治政府建设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优化政务服务，持续提升政府效能</w:t>
      </w:r>
    </w:p>
    <w:p w14:paraId="748350B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坚持民主监督，规范政府权力运行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坚持依法执政，密切联系人民群众</w:t>
      </w:r>
    </w:p>
    <w:p w14:paraId="1E600BF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将立德树人融入课堂，贴近日常，走进心灵。让时代新人眼中有光，心中有梦，步履坚定。据此完成下面小题。</w:t>
      </w:r>
    </w:p>
    <w:p w14:paraId="267670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以下是某同学搜集“伟大建党精神”思政微课的学习资料。对此，你认为正确的是（     ）</w:t>
      </w:r>
    </w:p>
    <w:p w14:paraId="4DC809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76825" cy="9429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F933F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①伟大建党精神在不同历史时期有着相同的表现    </w:t>
      </w:r>
    </w:p>
    <w:p w14:paraId="51AFE5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②伟大建党精神随着时代进步而不断丰富和发展</w:t>
      </w:r>
    </w:p>
    <w:p w14:paraId="01C1218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③表明伟大建党精神具有鲜明的先进性和时代性    </w:t>
      </w:r>
    </w:p>
    <w:p w14:paraId="554BD1E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④彰显共产党人矢志不渝为民族伟大复兴而奋斗</w:t>
      </w:r>
    </w:p>
    <w:p w14:paraId="38424FD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1A5930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2026年，我市中小学积极组织开展“行走的思政课”活动。有的“重走英雄路”，有的开展“清明祭先烈   奋进新征程”主题活动，有的到朱德故居等红色教育基地开展研学……这些活动旨在引导青少年（     ）</w:t>
      </w:r>
    </w:p>
    <w:p w14:paraId="0A1D33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①赓续红色血脉，汲取奋进力量       </w:t>
      </w:r>
    </w:p>
    <w:p w14:paraId="6DFE726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②弘扬革命精神，厚植家国情怀</w:t>
      </w:r>
    </w:p>
    <w:p w14:paraId="71F638E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③铭记革命历史，勇担时代重任       </w:t>
      </w:r>
    </w:p>
    <w:p w14:paraId="786CDB1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④维护国家利益，舍弃个人利益</w:t>
      </w:r>
    </w:p>
    <w:p w14:paraId="0EE4110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258F34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自1963年以来，我国对外派遣医疗队员3.1万人次，诊治患者3亿人次，发明了治疗疟疾的青蒿素，为推动全球卫生公平可及作出“中国贡献”。这表明中国（     ）</w:t>
      </w:r>
    </w:p>
    <w:p w14:paraId="7753D5D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牢牢把握机遇积极谋求自身发展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积极改变和平与发展的时代主题</w:t>
      </w:r>
    </w:p>
    <w:p w14:paraId="5C93D0B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充分发挥作为负责任大国的作用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领导全球治理体系的建设与变革</w:t>
      </w:r>
    </w:p>
    <w:p w14:paraId="7EC5F4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国家主席习近平在二〇二六新年贺词中指出：“山海寻梦，不觉其远；前路迢迢，阔步前行。”这对青少年的启示是（     ）</w:t>
      </w:r>
    </w:p>
    <w:p w14:paraId="5D9DC28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①怀揣梦想，敢做持续追梦者    ②脚踏实地，善做笃信实干者</w:t>
      </w:r>
    </w:p>
    <w:p w14:paraId="23E1C87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③锚定目标，争做好高骛远者    ④坚定信念，能做崇高信仰者</w:t>
      </w:r>
    </w:p>
    <w:p w14:paraId="5EEC403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53DA0B8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61181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【学习时事政治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胸怀家国天下】</w:t>
      </w:r>
    </w:p>
    <w:p w14:paraId="4DAB2BD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某中学组织开展“时事政治教育”活动，以下是小静同学搜集整理的部分内容。结合所学知识，完成填表任务。</w:t>
      </w:r>
    </w:p>
    <w:tbl>
      <w:tblPr>
        <w:tblStyle w:val="4"/>
        <w:tblW w:w="83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490"/>
        <w:gridCol w:w="2820"/>
      </w:tblGrid>
      <w:tr w14:paraId="2A33D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5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019E1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内容</w:t>
            </w:r>
          </w:p>
        </w:tc>
        <w:tc>
          <w:tcPr>
            <w:tcW w:w="2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FE8E3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你的解读</w:t>
            </w:r>
          </w:p>
        </w:tc>
      </w:tr>
      <w:tr w14:paraId="29399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5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740BC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2025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  <w:r>
              <w:rPr>
                <w:rFonts w:ascii="楷体" w:hAnsi="楷体" w:eastAsia="楷体" w:cs="楷体"/>
                <w:color w:val="000000"/>
              </w:rPr>
              <w:t>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楷体" w:hAnsi="楷体" w:eastAsia="楷体" w:cs="楷体"/>
                <w:color w:val="000000"/>
              </w:rPr>
              <w:t>日至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  <w:r>
              <w:rPr>
                <w:rFonts w:ascii="楷体" w:hAnsi="楷体" w:eastAsia="楷体" w:cs="楷体"/>
                <w:color w:val="000000"/>
              </w:rPr>
              <w:t>日召开的中央经济工作会议强调，稳步推进制度型开放（制度型开放是指以规则、规制、管理、标准等制度层面的开放和与国际接轨为主的开放）。</w:t>
            </w:r>
          </w:p>
        </w:tc>
        <w:tc>
          <w:tcPr>
            <w:tcW w:w="2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1095E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示例：我国坚持扩大对外开放。</w:t>
            </w:r>
          </w:p>
        </w:tc>
      </w:tr>
      <w:tr w14:paraId="61CE2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5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4F6B1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2025</w:t>
            </w:r>
            <w:r>
              <w:rPr>
                <w:rFonts w:ascii="楷体" w:hAnsi="楷体" w:eastAsia="楷体" w:cs="楷体"/>
                <w:color w:val="000000"/>
              </w:rPr>
              <w:t>年，国家安全机关破获了美国针对我国国家授时中心的重大网络攻击案，粉碎了美方网攻窃密和渗透的图谋。</w:t>
            </w:r>
          </w:p>
        </w:tc>
        <w:tc>
          <w:tcPr>
            <w:tcW w:w="2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61DB5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楷体" w:hAnsi="楷体" w:eastAsia="楷体" w:cs="楷体"/>
                <w:color w:val="000000"/>
              </w:rPr>
              <w:t>）</w:t>
            </w:r>
          </w:p>
        </w:tc>
      </w:tr>
      <w:tr w14:paraId="0FBD5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5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954D2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2025</w:t>
            </w:r>
            <w:r>
              <w:rPr>
                <w:rFonts w:ascii="楷体" w:hAnsi="楷体" w:eastAsia="楷体" w:cs="楷体"/>
                <w:color w:val="000000"/>
              </w:rPr>
              <w:t>年，人民法院审理追索劳动报酬案件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7.5</w:t>
            </w:r>
            <w:r>
              <w:rPr>
                <w:rFonts w:ascii="楷体" w:hAnsi="楷体" w:eastAsia="楷体" w:cs="楷体"/>
                <w:color w:val="000000"/>
              </w:rPr>
              <w:t>万件，帮助追回农民工工资等劳动报酬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241.2</w:t>
            </w:r>
            <w:r>
              <w:rPr>
                <w:rFonts w:ascii="楷体" w:hAnsi="楷体" w:eastAsia="楷体" w:cs="楷体"/>
                <w:color w:val="000000"/>
              </w:rPr>
              <w:t>亿元。</w:t>
            </w:r>
          </w:p>
        </w:tc>
        <w:tc>
          <w:tcPr>
            <w:tcW w:w="2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DD6A4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楷体" w:hAnsi="楷体" w:eastAsia="楷体" w:cs="楷体"/>
                <w:color w:val="000000"/>
              </w:rPr>
              <w:t>）</w:t>
            </w:r>
          </w:p>
        </w:tc>
      </w:tr>
      <w:tr w14:paraId="7DBB9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5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ADA35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2025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  <w:r>
              <w:rPr>
                <w:rFonts w:ascii="楷体" w:hAnsi="楷体" w:eastAsia="楷体" w:cs="楷体"/>
                <w:color w:val="000000"/>
              </w:rPr>
              <w:t>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楷体" w:hAnsi="楷体" w:eastAsia="楷体" w:cs="楷体"/>
                <w:color w:val="000000"/>
              </w:rPr>
              <w:t>日，国家主席习近平在“上海合作组织+”会议上郑重提出以奉行主权平等、遵守国际法治、践行多边主义、倡导以人为本、注重行动导向为核心理念的全球治理倡议。</w:t>
            </w:r>
          </w:p>
        </w:tc>
        <w:tc>
          <w:tcPr>
            <w:tcW w:w="2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8A6C7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楷体" w:hAnsi="楷体" w:eastAsia="楷体" w:cs="楷体"/>
                <w:color w:val="000000"/>
              </w:rPr>
              <w:t>）</w:t>
            </w:r>
          </w:p>
        </w:tc>
      </w:tr>
    </w:tbl>
    <w:p w14:paraId="2C63323E">
      <w:pPr>
        <w:spacing w:line="360" w:lineRule="auto"/>
        <w:jc w:val="both"/>
        <w:textAlignment w:val="center"/>
        <w:rPr>
          <w:color w:val="000000"/>
        </w:rPr>
      </w:pPr>
    </w:p>
    <w:p w14:paraId="1AA8B4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【坚持法治护航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筑牢生态屏障】</w:t>
      </w:r>
    </w:p>
    <w:p w14:paraId="11AD8CE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生态环境法典是新中国成立以来第二部以法典命名的法律，是中国立法史上具有里程碑意义的重大立法。以下图示展示了生态环境法典的立法过程。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46"/>
        <w:gridCol w:w="450"/>
        <w:gridCol w:w="2982"/>
        <w:gridCol w:w="450"/>
        <w:gridCol w:w="2797"/>
      </w:tblGrid>
      <w:tr w14:paraId="773D3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62F09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决策部署</w:t>
            </w:r>
          </w:p>
        </w:tc>
        <w:tc>
          <w:tcPr>
            <w:tcW w:w="345" w:type="dxa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32E93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9C073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征求意见</w:t>
            </w:r>
          </w:p>
        </w:tc>
        <w:tc>
          <w:tcPr>
            <w:tcW w:w="345" w:type="dxa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1262B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28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93092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表决通过</w:t>
            </w:r>
          </w:p>
        </w:tc>
      </w:tr>
      <w:tr w14:paraId="354DDE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B3A0B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党的二十届三中全会明确提出“编纂生态环境法典”</w:t>
            </w:r>
          </w:p>
        </w:tc>
        <w:tc>
          <w:tcPr>
            <w:tcW w:w="345" w:type="dxa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69654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→</w:t>
            </w:r>
          </w:p>
        </w:tc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16FFB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通过中国人大网向社会公布草案，征求公众意见，前后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楷体" w:hAnsi="楷体" w:eastAsia="楷体" w:cs="楷体"/>
                <w:color w:val="000000"/>
              </w:rPr>
              <w:t>次收到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7000</w:t>
            </w:r>
            <w:r>
              <w:rPr>
                <w:rFonts w:ascii="楷体" w:hAnsi="楷体" w:eastAsia="楷体" w:cs="楷体"/>
                <w:color w:val="000000"/>
              </w:rPr>
              <w:t>多人次提出的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楷体" w:hAnsi="楷体" w:eastAsia="楷体" w:cs="楷体"/>
                <w:color w:val="000000"/>
              </w:rPr>
              <w:t>万多条意见。</w:t>
            </w:r>
          </w:p>
        </w:tc>
        <w:tc>
          <w:tcPr>
            <w:tcW w:w="345" w:type="dxa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7B231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→</w:t>
            </w:r>
          </w:p>
        </w:tc>
        <w:tc>
          <w:tcPr>
            <w:tcW w:w="28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AB63B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2026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楷体" w:hAnsi="楷体" w:eastAsia="楷体" w:cs="楷体"/>
                <w:color w:val="000000"/>
              </w:rPr>
              <w:t>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  <w:r>
              <w:rPr>
                <w:rFonts w:ascii="楷体" w:hAnsi="楷体" w:eastAsia="楷体" w:cs="楷体"/>
                <w:color w:val="000000"/>
              </w:rPr>
              <w:t>日，十四届全国人大四次会议表决通过《中华人民共和国生态环境法典》。</w:t>
            </w:r>
          </w:p>
        </w:tc>
      </w:tr>
    </w:tbl>
    <w:p w14:paraId="6CB5079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结合材料，运用所学知识，分析该法典的立法过程是如何体现“党的领导、人民当家作主和依法治国的有机统一”的。</w:t>
      </w:r>
    </w:p>
    <w:p w14:paraId="1C19A2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【传承非遗文化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建设文化强市】</w:t>
      </w:r>
    </w:p>
    <w:p w14:paraId="3B74C78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  川北大木偶是南充重要的城市名片，距今约三百余载，被誉为“世界罕见的木偶艺术”，有变脸、吐火、敬酒、变衣接花枪等传统绝活，在造型、音乐、舞美等方面具有独特的艺术特色。然而，由于当代娱乐方式的巨大变化，传统剧情和表演方式已难以满足人们的需求，导致其面临困境。如何让川北大木偶永葆生机成为大家关注的焦点。以下是两位同学的讨论。</w:t>
      </w:r>
    </w:p>
    <w:p w14:paraId="2659E9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52900" cy="19526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FC3C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结合材料，运用所学知识，对以上两位同学的观点进行辨析。</w:t>
      </w:r>
    </w:p>
    <w:p w14:paraId="7BC7315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 川北大木偶于2006年6月入选首批国家级非物质文化遗产，2012年列入文化部对外交流精品项目。当前，制约川北大木偶发展的主要因素是以下四个方面：一是政策支持力度不够，缺乏立足长远的保护、传承、开发利用的整体规划；二是人才培养模式单一，缺乏兼具技艺与文化素养的传承发展“主力军”；三是科技赋能不足，缺乏沉浸式互动体验场景；四是国际交流不够，缺乏国际化叙事能力。</w:t>
      </w:r>
    </w:p>
    <w:p w14:paraId="48D1C3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结合材料，运用所学知识，为推动川北大木偶发展提出建议。</w:t>
      </w:r>
    </w:p>
    <w:p w14:paraId="52685D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【播种创新种子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建设科技强国】</w:t>
      </w:r>
    </w:p>
    <w:p w14:paraId="587022F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为培养学生科学兴趣、创新意识和实践能力，你所在的学校组织开展了科技节。</w:t>
      </w:r>
    </w:p>
    <w:p w14:paraId="688CF7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你所在的科技兴趣小组搜集到以下材料，请分析该材料所反映的信息。</w:t>
      </w:r>
    </w:p>
    <w:p w14:paraId="34F57A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33800" cy="20859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</w:t>
      </w:r>
      <w:r>
        <w:rPr>
          <w:color w:val="000000"/>
        </w:rPr>
        <w:drawing>
          <wp:inline distT="0" distB="0" distL="114300" distR="114300">
            <wp:extent cx="2743200" cy="18859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AD5B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在科技节闭幕式环节，你被推选为学生代表，需围绕“扬青春奋斗之姿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助科技强国建设”进行主题交流，请拟定一份发言稿。</w:t>
      </w:r>
    </w:p>
    <w:p w14:paraId="7893CC3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要求：观点明确，语言简洁，使用学科术语，总字数不超过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字。</w:t>
      </w:r>
    </w:p>
    <w:p w14:paraId="79BB265C">
      <w:pPr>
        <w:spacing w:line="360" w:lineRule="auto"/>
        <w:jc w:val="both"/>
        <w:textAlignment w:val="center"/>
        <w:rPr>
          <w:color w:val="000000"/>
        </w:rPr>
      </w:pPr>
    </w:p>
    <w:p w14:paraId="719CCFBD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31F981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F4003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4B9A8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6E546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87355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3BB0275"/>
    <w:rsid w:val="38274566"/>
    <w:rsid w:val="66C946B2"/>
    <w:rsid w:val="6B556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3</Pages>
  <Words>2279</Words>
  <Characters>2399</Characters>
  <Lines>0</Lines>
  <Paragraphs>0</Paragraphs>
  <TotalTime>0</TotalTime>
  <ScaleCrop>false</ScaleCrop>
  <LinksUpToDate>false</LinksUpToDate>
  <CharactersWithSpaces>2636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2026-09-13T13:38:45Z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9501DF74F4764FF6B80A0F97C7E5B13F_12</vt:lpwstr>
  </property>
</Properties>
</file>