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05F23CB">
      <w:pPr>
        <w:spacing w:line="360" w:lineRule="auto"/>
        <w:jc w:val="both"/>
      </w:pPr>
      <w:bookmarkStart w:id="0" w:name="_GoBack"/>
      <w:bookmarkEnd w:id="0"/>
      <w:r>
        <w:rPr>
          <w:rFonts w:ascii="宋体" w:hAnsi="宋体" w:eastAsia="宋体" w:cs="宋体"/>
          <w:b/>
          <w:color w:val="auto"/>
          <w:sz w:val="24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11049000</wp:posOffset>
            </wp:positionH>
            <wp:positionV relativeFrom="topMargin">
              <wp:posOffset>11239500</wp:posOffset>
            </wp:positionV>
            <wp:extent cx="292100" cy="292100"/>
            <wp:effectExtent l="0" t="0" r="12700" b="12700"/>
            <wp:wrapNone/>
            <wp:docPr id="100027" name="图片 1000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92100" cy="292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24"/>
        </w:rPr>
        <w:t>绝密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★</w:t>
      </w:r>
      <w:r>
        <w:rPr>
          <w:rFonts w:ascii="宋体" w:hAnsi="宋体" w:eastAsia="宋体" w:cs="宋体"/>
          <w:b/>
          <w:color w:val="auto"/>
          <w:sz w:val="24"/>
        </w:rPr>
        <w:t>启用前</w:t>
      </w:r>
    </w:p>
    <w:p w14:paraId="28661059">
      <w:pPr>
        <w:spacing w:line="360" w:lineRule="auto"/>
        <w:jc w:val="center"/>
      </w:pPr>
      <w:r>
        <w:rPr>
          <w:rFonts w:ascii="Times New Roman" w:hAnsi="Times New Roman" w:eastAsia="Times New Roman" w:cs="Times New Roman"/>
          <w:b/>
          <w:color w:val="auto"/>
          <w:sz w:val="32"/>
        </w:rPr>
        <w:t>2025</w:t>
      </w:r>
      <w:r>
        <w:rPr>
          <w:rFonts w:ascii="宋体" w:hAnsi="宋体" w:eastAsia="宋体" w:cs="宋体"/>
          <w:b/>
          <w:color w:val="auto"/>
          <w:sz w:val="32"/>
        </w:rPr>
        <w:t>年重庆市中考生物试卷</w:t>
      </w:r>
    </w:p>
    <w:p w14:paraId="0D0CCFE0">
      <w:pPr>
        <w:spacing w:line="360" w:lineRule="auto"/>
        <w:jc w:val="both"/>
      </w:pPr>
      <w:r>
        <w:rPr>
          <w:rFonts w:ascii="宋体" w:hAnsi="宋体" w:eastAsia="宋体" w:cs="宋体"/>
          <w:b/>
          <w:color w:val="auto"/>
          <w:sz w:val="24"/>
        </w:rPr>
        <w:t>注意事项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:</w:t>
      </w:r>
    </w:p>
    <w:p w14:paraId="02CA4244">
      <w:pPr>
        <w:spacing w:line="360" w:lineRule="auto"/>
        <w:jc w:val="both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1.</w:t>
      </w:r>
      <w:r>
        <w:rPr>
          <w:rFonts w:ascii="宋体" w:hAnsi="宋体" w:eastAsia="宋体" w:cs="宋体"/>
          <w:b/>
          <w:color w:val="auto"/>
          <w:sz w:val="24"/>
        </w:rPr>
        <w:t>答卷前，考生务必将自己的姓名、准考证号填写在答题卡上。</w:t>
      </w:r>
    </w:p>
    <w:p w14:paraId="06B80EFD">
      <w:pPr>
        <w:spacing w:line="360" w:lineRule="auto"/>
        <w:jc w:val="both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2.</w:t>
      </w:r>
      <w:r>
        <w:rPr>
          <w:rFonts w:ascii="宋体" w:hAnsi="宋体" w:eastAsia="宋体" w:cs="宋体"/>
          <w:b/>
          <w:color w:val="auto"/>
          <w:sz w:val="24"/>
        </w:rPr>
        <w:t>回答选择题时，选出每小题答案后，用铅笔把答题卡对应题目的答案标号涂黑；如需改动，用橡皮擦干净后，再选涂其他答案标号。回答非选择题时，将答案写在答题卡上，写在试卷上无效。</w:t>
      </w:r>
    </w:p>
    <w:p w14:paraId="23B72BFF">
      <w:pPr>
        <w:spacing w:line="360" w:lineRule="auto"/>
        <w:jc w:val="both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3.</w:t>
      </w:r>
      <w:r>
        <w:rPr>
          <w:rFonts w:ascii="宋体" w:hAnsi="宋体" w:eastAsia="宋体" w:cs="宋体"/>
          <w:b/>
          <w:color w:val="auto"/>
          <w:sz w:val="24"/>
        </w:rPr>
        <w:t>考试结束后，本试卷和答题卡一并交回。</w:t>
      </w:r>
    </w:p>
    <w:p w14:paraId="58D6A990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24"/>
        </w:rPr>
        <w:t>第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I</w:t>
      </w:r>
      <w:r>
        <w:rPr>
          <w:rFonts w:ascii="宋体" w:hAnsi="宋体" w:eastAsia="宋体" w:cs="宋体"/>
          <w:b/>
          <w:color w:val="auto"/>
          <w:sz w:val="24"/>
        </w:rPr>
        <w:t>卷（选择题）</w:t>
      </w:r>
    </w:p>
    <w:p w14:paraId="427C7E51">
      <w:pPr>
        <w:spacing w:line="360" w:lineRule="auto"/>
        <w:jc w:val="both"/>
      </w:pPr>
      <w:r>
        <w:rPr>
          <w:rFonts w:ascii="宋体" w:hAnsi="宋体" w:eastAsia="宋体" w:cs="宋体"/>
          <w:b/>
          <w:color w:val="auto"/>
          <w:sz w:val="24"/>
        </w:rPr>
        <w:t>一、选择题：本大题共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20</w:t>
      </w:r>
      <w:r>
        <w:rPr>
          <w:rFonts w:ascii="宋体" w:hAnsi="宋体" w:eastAsia="宋体" w:cs="宋体"/>
          <w:b/>
          <w:color w:val="auto"/>
          <w:sz w:val="24"/>
        </w:rPr>
        <w:t>小题，共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20</w:t>
      </w:r>
      <w:r>
        <w:rPr>
          <w:rFonts w:ascii="宋体" w:hAnsi="宋体" w:eastAsia="宋体" w:cs="宋体"/>
          <w:b/>
          <w:color w:val="auto"/>
          <w:sz w:val="24"/>
        </w:rPr>
        <w:t>分。</w:t>
      </w:r>
    </w:p>
    <w:p w14:paraId="108471D3">
      <w:pPr>
        <w:spacing w:line="360" w:lineRule="auto"/>
        <w:jc w:val="both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为力争在</w:t>
      </w:r>
      <w:r>
        <w:rPr>
          <w:rFonts w:ascii="Times New Roman" w:hAnsi="Times New Roman" w:eastAsia="Times New Roman" w:cs="Times New Roman"/>
          <w:color w:val="auto"/>
        </w:rPr>
        <w:t>2060</w:t>
      </w:r>
      <w:r>
        <w:rPr>
          <w:rFonts w:ascii="宋体" w:hAnsi="宋体" w:eastAsia="宋体" w:cs="宋体"/>
          <w:color w:val="auto"/>
        </w:rPr>
        <w:t>年前实现“碳中和”（二氧化碳排放量与吸收量相等），我国开展了大规模植树造林活动。这是因为绿色植物能（</w:t>
      </w:r>
      <w:r>
        <w:rPr>
          <w:rFonts w:ascii="Times New Roman" w:hAnsi="Times New Roman" w:eastAsia="Times New Roman" w:cs="Times New Roman"/>
          <w:color w:val="auto"/>
        </w:rPr>
        <w:t xml:space="preserve">    </w:t>
      </w:r>
      <w:r>
        <w:rPr>
          <w:rFonts w:ascii="宋体" w:hAnsi="宋体" w:eastAsia="宋体" w:cs="宋体"/>
          <w:color w:val="auto"/>
        </w:rPr>
        <w:t>）</w:t>
      </w:r>
    </w:p>
    <w:p w14:paraId="22339ADF">
      <w:pPr>
        <w:tabs>
          <w:tab w:val="left" w:pos="4873"/>
        </w:tabs>
        <w:spacing w:line="360" w:lineRule="auto"/>
        <w:jc w:val="left"/>
        <w:textAlignment w:val="center"/>
        <w:rPr>
          <w:color w:val="auto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吸收二氧化碳</w: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吸收光能</w:t>
      </w:r>
    </w:p>
    <w:p w14:paraId="444CE4A7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t xml:space="preserve">C. </w:t>
      </w:r>
      <w:r>
        <w:rPr>
          <w:rFonts w:ascii="宋体" w:hAnsi="宋体" w:eastAsia="宋体" w:cs="宋体"/>
          <w:color w:val="auto"/>
        </w:rPr>
        <w:t>制造有机物</w: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</w:rPr>
        <w:t>蒸腾水分</w:t>
      </w:r>
    </w:p>
    <w:p w14:paraId="184BCC4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上世纪八十年代的多次调查发现，长江江豚数量急剧下降。</w:t>
      </w:r>
      <w:r>
        <w:rPr>
          <w:rFonts w:ascii="Times New Roman" w:hAnsi="Times New Roman" w:eastAsia="Times New Roman" w:cs="Times New Roman"/>
          <w:color w:val="000000"/>
        </w:rPr>
        <w:t>1990</w:t>
      </w:r>
      <w:r>
        <w:rPr>
          <w:rFonts w:ascii="宋体" w:hAnsi="宋体" w:eastAsia="宋体" w:cs="宋体"/>
          <w:color w:val="000000"/>
        </w:rPr>
        <w:t>年科学家选了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头江豚安置到湖北天鹅洲繁衍生息，对江豚的这种保护属于（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663165F5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就地保护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迁地（易地）保护</w:t>
      </w:r>
    </w:p>
    <w:p w14:paraId="64889081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恢复生活环境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建立自然保护区</w:t>
      </w:r>
    </w:p>
    <w:p w14:paraId="2652189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重庆有很多地名与生物有关，如蚂蝗梁、鱼嘴、鸳鸯、虎溪等。这些地名中的动物，在分类学上与人类亲缘关系最近的是（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0408182B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蚂蝗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鱼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鸳鸯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虎</w:t>
      </w:r>
    </w:p>
    <w:p w14:paraId="49D20E8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今年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月，重庆出现了沙尘天气，沙尘中含有不同大小的沙粒，还有细菌、病毒等病原体，对人体危害极大，专家提醒出门配戴口罩。根据本材料，请完成各小题。</w:t>
      </w:r>
    </w:p>
    <w:p w14:paraId="5850DCA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人体呼吸道对沙尘具有一定的吸附、清洁功能。下列结构不属于呼吸道的是（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4A493EE5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鼻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气管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支气管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肺</w:t>
      </w:r>
    </w:p>
    <w:p w14:paraId="225274F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呼吸时沙尘中的病毒、细菌被呼吸道黏膜阻挡、清除，黏膜对人体的保护作用属于（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5958E3AD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非特异性免疫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特异性免疫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计划免疫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过敏反应</w:t>
      </w:r>
    </w:p>
    <w:p w14:paraId="56A53A7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登山时一游客突然晕倒，检查发现他无心跳、无呼吸，需要立即进行心肺复苏。根据本材料，请完成各小题。</w:t>
      </w:r>
    </w:p>
    <w:p w14:paraId="1CC64C2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根据如下表中数据判断，对该游客进行心肺复苏的最佳抢救时间是（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3CB2DBE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心脏骤停后各组织器官不受损伤的最长时间</w:t>
      </w:r>
    </w:p>
    <w:tbl>
      <w:tblPr>
        <w:tblStyle w:val="4"/>
        <w:tblW w:w="583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354"/>
        <w:gridCol w:w="642"/>
        <w:gridCol w:w="834"/>
        <w:gridCol w:w="1355"/>
        <w:gridCol w:w="921"/>
        <w:gridCol w:w="729"/>
      </w:tblGrid>
      <w:tr w14:paraId="15A071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7FD7D8E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组织器官名称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A3F32C4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大脑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205D55A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小脑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BBE4E2C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心肌、肾小管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0D6D4E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肝脏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D446766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肺</w:t>
            </w:r>
          </w:p>
        </w:tc>
      </w:tr>
      <w:tr w14:paraId="3AA38B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F891DB1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时间（分钟）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D8C68EA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</w:t>
            </w:r>
            <w:r>
              <w:rPr>
                <w:rFonts w:ascii="宋体" w:hAnsi="宋体" w:eastAsia="宋体" w:cs="宋体"/>
                <w:color w:val="000000"/>
              </w:rPr>
              <w:t>～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6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E8CDD23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10</w:t>
            </w:r>
            <w:r>
              <w:rPr>
                <w:rFonts w:ascii="宋体" w:hAnsi="宋体" w:eastAsia="宋体" w:cs="宋体"/>
                <w:color w:val="000000"/>
              </w:rPr>
              <w:t>～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15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93973D1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83ECD1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60</w:t>
            </w:r>
            <w:r>
              <w:rPr>
                <w:rFonts w:ascii="宋体" w:hAnsi="宋体" w:eastAsia="宋体" w:cs="宋体"/>
                <w:color w:val="000000"/>
              </w:rPr>
              <w:t>～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120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A28E47A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＞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120</w:t>
            </w:r>
          </w:p>
        </w:tc>
      </w:tr>
    </w:tbl>
    <w:p w14:paraId="253A053B">
      <w:pPr>
        <w:spacing w:line="360" w:lineRule="auto"/>
        <w:jc w:val="both"/>
        <w:textAlignment w:val="center"/>
        <w:rPr>
          <w:color w:val="000000"/>
        </w:rPr>
      </w:pPr>
    </w:p>
    <w:p w14:paraId="455C449E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分钟内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分钟内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30</w:t>
      </w:r>
      <w:r>
        <w:rPr>
          <w:rFonts w:ascii="宋体" w:hAnsi="宋体" w:eastAsia="宋体" w:cs="宋体"/>
          <w:color w:val="000000"/>
        </w:rPr>
        <w:t>分钟内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60</w:t>
      </w:r>
      <w:r>
        <w:rPr>
          <w:rFonts w:ascii="宋体" w:hAnsi="宋体" w:eastAsia="宋体" w:cs="宋体"/>
          <w:color w:val="000000"/>
        </w:rPr>
        <w:t>分钟内</w:t>
      </w:r>
    </w:p>
    <w:p w14:paraId="69C7106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如图所示，进行胸外按压时，施救者应将双手放在患者的（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41F7992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66850" cy="1057275"/>
            <wp:effectExtent l="0" t="0" r="0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466850" cy="1057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DCC636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位置</w:t>
      </w:r>
      <w:r>
        <w:rPr>
          <w:rFonts w:ascii="Times New Roman" w:hAnsi="Times New Roman" w:eastAsia="Times New Roman" w:cs="Times New Roman"/>
          <w:color w:val="000000"/>
        </w:rPr>
        <w:t>①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位置</w:t>
      </w:r>
      <w:r>
        <w:rPr>
          <w:rFonts w:ascii="Times New Roman" w:hAnsi="Times New Roman" w:eastAsia="Times New Roman" w:cs="Times New Roman"/>
          <w:color w:val="000000"/>
        </w:rPr>
        <w:t>②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位置</w:t>
      </w:r>
      <w:r>
        <w:rPr>
          <w:rFonts w:ascii="Times New Roman" w:hAnsi="Times New Roman" w:eastAsia="Times New Roman" w:cs="Times New Roman"/>
          <w:color w:val="000000"/>
        </w:rPr>
        <w:t>③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位置</w:t>
      </w:r>
      <w:r>
        <w:rPr>
          <w:rFonts w:ascii="Times New Roman" w:hAnsi="Times New Roman" w:eastAsia="Times New Roman" w:cs="Times New Roman"/>
          <w:color w:val="000000"/>
        </w:rPr>
        <w:t>④</w:t>
      </w:r>
    </w:p>
    <w:p w14:paraId="6976443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如图所示，在完成“测定反应速度”的实验过程中，不直接参与该反射的器官是（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26DFF20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38250" cy="1504950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238250" cy="1504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A42F51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眼睛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大脑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肌肉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肾脏</w:t>
      </w:r>
    </w:p>
    <w:p w14:paraId="04E4C0E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男性生殖系统中能够产生精子和分泌雄性激素的器官是（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3480636E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附睾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睾丸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尿道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阴茎</w:t>
      </w:r>
    </w:p>
    <w:p w14:paraId="799ECF2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作为人体发育的重要时期，青春期的变化不包括（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4A3AB5A2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身高和体重迅速增长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开始出现第二性征</w:t>
      </w:r>
    </w:p>
    <w:p w14:paraId="51E3BEB7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身体完全发育成熟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女孩出现月经</w:t>
      </w:r>
    </w:p>
    <w:p w14:paraId="7E3F0F0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石柱辣椒是国家地理标志农产品，我国十大名辣椒之一，种植辣椒已成为石柱乡村振兴的重要产业。根据本材料，请完成各小题。</w:t>
      </w:r>
    </w:p>
    <w:p w14:paraId="2A073FB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辣椒胚珠内的受精卵能形成多种类型的细胞，这一过程属于（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1C69AF4F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细胞生长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细胞死亡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细胞分裂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细胞分化</w:t>
      </w:r>
    </w:p>
    <w:p w14:paraId="1BEA452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辣椒果实在植物体的结构层次中属于（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30EFB22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细胞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组织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器官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个体</w:t>
      </w:r>
    </w:p>
    <w:p w14:paraId="4AFB1D8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种植时施加含氮、磷的肥料，因为辣椒生长需要（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2584D38A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有机物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无机盐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二氧化碳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水</w:t>
      </w:r>
    </w:p>
    <w:p w14:paraId="3957B82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打羽毛球是同学们喜爱的体育活动，在此过程中骨骼肌所起的作用是（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74E5D90D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杠杆作用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支点作用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减震作用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动力作用</w:t>
      </w:r>
    </w:p>
    <w:p w14:paraId="20BD7A0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据重庆市疾控中心介绍，我市狂犬病发病数从</w:t>
      </w:r>
      <w:r>
        <w:rPr>
          <w:rFonts w:ascii="Times New Roman" w:hAnsi="Times New Roman" w:eastAsia="Times New Roman" w:cs="Times New Roman"/>
          <w:color w:val="000000"/>
        </w:rPr>
        <w:t>2007</w:t>
      </w:r>
      <w:r>
        <w:rPr>
          <w:rFonts w:ascii="宋体" w:hAnsi="宋体" w:eastAsia="宋体" w:cs="宋体"/>
          <w:color w:val="000000"/>
        </w:rPr>
        <w:t>年的</w:t>
      </w:r>
      <w:r>
        <w:rPr>
          <w:rFonts w:ascii="Times New Roman" w:hAnsi="Times New Roman" w:eastAsia="Times New Roman" w:cs="Times New Roman"/>
          <w:color w:val="000000"/>
        </w:rPr>
        <w:t>197</w:t>
      </w:r>
      <w:r>
        <w:rPr>
          <w:rFonts w:ascii="宋体" w:hAnsi="宋体" w:eastAsia="宋体" w:cs="宋体"/>
          <w:color w:val="000000"/>
        </w:rPr>
        <w:t>例降至</w:t>
      </w:r>
      <w:r>
        <w:rPr>
          <w:rFonts w:ascii="Times New Roman" w:hAnsi="Times New Roman" w:eastAsia="Times New Roman" w:cs="Times New Roman"/>
          <w:color w:val="000000"/>
        </w:rPr>
        <w:t>2024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例，防治工作取得显著成效。下列关于狂犬病毒的叙述正确的是（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3DAB791B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没有遗传物质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在低倍显微镜下可见</w:t>
      </w:r>
    </w:p>
    <w:p w14:paraId="7597BD83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没有细胞结构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离开细胞能独立生活</w:t>
      </w:r>
    </w:p>
    <w:p w14:paraId="0B20BFC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碘液是生物学实验常用试剂，下列实验中加碘液后呈现的颜色与其他实验不同的是（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29544D6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观察人的口腔上皮细胞</w:t>
      </w:r>
    </w:p>
    <w:p w14:paraId="7F1146C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观察玉米种子的结构</w:t>
      </w:r>
    </w:p>
    <w:p w14:paraId="1DDAE48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探究唾液对淀粉的消化作用</w:t>
      </w:r>
    </w:p>
    <w:p w14:paraId="46F46EF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检验绿叶在光下制造淀粉</w:t>
      </w:r>
    </w:p>
    <w:p w14:paraId="2EEB56F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中国空间站带来了震惊全球的消息：在太空中首次发现了一种新细菌</w:t>
      </w:r>
      <w:r>
        <w:rPr>
          <w:rFonts w:ascii="Times New Roman" w:hAnsi="Times New Roman" w:eastAsia="Times New Roman" w:cs="Times New Roman"/>
          <w:color w:val="000000"/>
        </w:rPr>
        <w:t>——</w:t>
      </w:r>
      <w:r>
        <w:rPr>
          <w:rFonts w:ascii="宋体" w:hAnsi="宋体" w:eastAsia="宋体" w:cs="宋体"/>
          <w:color w:val="000000"/>
        </w:rPr>
        <w:t>“天宫尼尔菌”。下列关于该细菌的叙述不正确的是（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396126D1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有成形的细胞核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没有叶绿体</w:t>
      </w:r>
    </w:p>
    <w:p w14:paraId="659CF6A7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100031" name="图片 1000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需要借助显微镜观察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含有遗传物质</w:t>
      </w:r>
    </w:p>
    <w:p w14:paraId="3087E74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每年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～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月，云南红河蝴蝶谷的箭环蝶破蛹而出，枯黄色的翅极像落叶，貌似“一夜入秋”，其发育过程如图。下列有关箭环蝶叙述不正确的是（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3CE8F69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381375" cy="542925"/>
            <wp:effectExtent l="0" t="0" r="9525" b="9525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381375" cy="542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65E83B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体表有外骨骼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不完全变态发育</w:t>
      </w:r>
    </w:p>
    <w:p w14:paraId="1F66C589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体内受精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可以帮助植物传粉</w:t>
      </w:r>
    </w:p>
    <w:p w14:paraId="08639C4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健康生活有利于预防疾病，下列生活方式不合理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0025" name="图片 1000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2E09BF1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不吸烟，不酗酒，拒绝毒品</w:t>
      </w:r>
    </w:p>
    <w:p w14:paraId="716CA7F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坚持体育锻炼，保持心情愉悦</w:t>
      </w:r>
    </w:p>
    <w:p w14:paraId="7656B18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合理安排时间，按时作息</w:t>
      </w:r>
    </w:p>
    <w:p w14:paraId="5FAA08D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暴饮暴食，沉迷网络游戏</w:t>
      </w:r>
    </w:p>
    <w:p w14:paraId="2D4BC87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藿香正气水是夏季防暑常用药，据下图说明书判断，下列叙述正确的是（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608220E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2970530"/>
            <wp:effectExtent l="0" t="0" r="0" b="127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29708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B585D1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目前该药品</w:t>
      </w:r>
      <w:r>
        <w:rPr>
          <w:rFonts w:ascii="宋体" w:hAnsi="宋体" w:eastAsia="宋体" w:cs="宋体"/>
          <w:color w:val="000000"/>
          <w:position w:val="-1"/>
        </w:rPr>
        <w:drawing>
          <wp:inline distT="0" distB="0" distL="114300" distR="114300">
            <wp:extent cx="139700" cy="190500"/>
            <wp:effectExtent l="0" t="0" r="12700" b="0"/>
            <wp:docPr id="100033" name="图片 1000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3970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保质期内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开车时不能服用该药品</w:t>
      </w:r>
    </w:p>
    <w:p w14:paraId="33AFF60C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该药品为处方药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每次服用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支</w:t>
      </w:r>
    </w:p>
    <w:p w14:paraId="7F3A6266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II</w:t>
      </w:r>
      <w:r>
        <w:rPr>
          <w:rFonts w:ascii="宋体" w:hAnsi="宋体" w:eastAsia="宋体" w:cs="宋体"/>
          <w:b/>
          <w:color w:val="000000"/>
          <w:sz w:val="24"/>
        </w:rPr>
        <w:t>卷（非选择题）</w:t>
      </w:r>
    </w:p>
    <w:p w14:paraId="1768E3C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二、简答题：本大题共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</w:t>
      </w:r>
      <w:r>
        <w:rPr>
          <w:rFonts w:ascii="宋体" w:hAnsi="宋体" w:eastAsia="宋体" w:cs="宋体"/>
          <w:b/>
          <w:color w:val="000000"/>
          <w:sz w:val="24"/>
        </w:rPr>
        <w:t>小题，共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30</w:t>
      </w:r>
      <w:r>
        <w:rPr>
          <w:rFonts w:ascii="宋体" w:hAnsi="宋体" w:eastAsia="宋体" w:cs="宋体"/>
          <w:b/>
          <w:color w:val="000000"/>
          <w:sz w:val="24"/>
        </w:rPr>
        <w:t>分。</w:t>
      </w:r>
    </w:p>
    <w:p w14:paraId="264B2FB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我国有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亿亩盐碱地具备种植水稻潜力，科研人员正努力开展高产耐盐碱水稻（俗称“海水稻”）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0029" name="图片 1000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培育，有望将“亿亩荒滩变良田”，确保我国粮食安全。请回答：</w:t>
      </w:r>
    </w:p>
    <w:p w14:paraId="776412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海水稻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76011336" name="图片 10760113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6011336" name="图片 1076011336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花没有鲜艳花瓣，花粉量多且轻，推测其主要借助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传粉。传粉受精后，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（选填“子房”或“胚珠”）发育成果实。</w:t>
      </w:r>
    </w:p>
    <w:p w14:paraId="5C19BD2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海水稻稻米的营养主要贮存在种子的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中。海水稻虽然生长在盐碱地，品尝其稻米却发现并没有咸味：是因为海水稻生长时细胞的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能控制盐分进入细胞质。</w:t>
      </w:r>
    </w:p>
    <w:p w14:paraId="3B499CF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耐盐碱高产海水稻的培育主要有两种方式：一是以耐盐碱低产野生海水稻为基础，育种过程如图所示，该过程属于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育种方式；二是将盐碱地区其它生物的耐盐碱、高产基因导入普通水稻，该技术属于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（选填“转基因”或“克隆”）技术。</w:t>
      </w:r>
    </w:p>
    <w:p w14:paraId="5179AF6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390900" cy="1933575"/>
            <wp:effectExtent l="0" t="0" r="0" b="9525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3390900" cy="1933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0A169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四川泡菜是我国传统发酵食品的代表之一，其制作过程如下。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</w:p>
    <w:tbl>
      <w:tblPr>
        <w:tblStyle w:val="4"/>
        <w:tblW w:w="790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2070"/>
        <w:gridCol w:w="5835"/>
      </w:tblGrid>
      <w:tr w14:paraId="407A39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20FD0DA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drawing>
                <wp:inline distT="0" distB="0" distL="114300" distR="114300">
                  <wp:extent cx="1162050" cy="781050"/>
                  <wp:effectExtent l="0" t="0" r="0" b="0"/>
                  <wp:docPr id="100013" name="图片 100013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13" name="图片 100013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62050" cy="7810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8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C393DDA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①</w:t>
            </w:r>
            <w:r>
              <w:rPr>
                <w:rFonts w:ascii="宋体" w:hAnsi="宋体" w:eastAsia="宋体" w:cs="宋体"/>
                <w:color w:val="000000"/>
              </w:rPr>
              <w:t>蔬菜和泡菜坛洗净、晾干。</w:t>
            </w:r>
          </w:p>
          <w:p w14:paraId="6B3352FF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②</w:t>
            </w:r>
            <w:r>
              <w:rPr>
                <w:rFonts w:ascii="宋体" w:hAnsi="宋体" w:eastAsia="宋体" w:cs="宋体"/>
                <w:color w:val="000000"/>
              </w:rPr>
              <w:t>制泡菜水：锅中烧开水，放入盐、冰糖、花椒、八角等煮沸几分钟后关火，冷却。</w:t>
            </w:r>
          </w:p>
          <w:p w14:paraId="63E79ED3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③</w:t>
            </w:r>
            <w:r>
              <w:rPr>
                <w:rFonts w:ascii="宋体" w:hAnsi="宋体" w:eastAsia="宋体" w:cs="宋体"/>
                <w:color w:val="000000"/>
              </w:rPr>
              <w:t>密封发酵：把蔬菜放入坛中，加泡菜水没过蔬菜，盖上盖子，在坛沿内注入清水密封。</w:t>
            </w:r>
          </w:p>
        </w:tc>
      </w:tr>
    </w:tbl>
    <w:p w14:paraId="0313F55B">
      <w:pPr>
        <w:spacing w:line="360" w:lineRule="auto"/>
        <w:jc w:val="both"/>
        <w:textAlignment w:val="center"/>
        <w:rPr>
          <w:color w:val="000000"/>
        </w:rPr>
      </w:pPr>
    </w:p>
    <w:p w14:paraId="09DA39D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泡菜发酵需要的主要微生物是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，根据制作过程判断该菌来自于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2FB190C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泡菜坛独有的“水封”设计创造的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条件，以及该菌产生的大量乳酸能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（选填“促进”或“抑制”）其它多种微生物的生长，有利于泡菜的发酵和保存。</w:t>
      </w:r>
    </w:p>
    <w:p w14:paraId="236218A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泡菜中含有一定量的亚硝酸盐，食用过多会影响身体健康。为探究影响泡菜中亚硝酸盐含量的因素，在上述泡菜制作过程的基础上，某兴趣小组开展了如图所示结果的分组实验。</w:t>
      </w:r>
    </w:p>
    <w:p w14:paraId="6F5BAFF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724400" cy="2552700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4724400" cy="2552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483D6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根据以上实验结果，为减少亚硝酸盐的危害，对喜爱食用泡菜的重庆市民，请你从制作和食用方面给他们提出两点建议：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、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1FDC8C9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“国家喊你减肥”这一话题迅速登上各大平台热搜。我国居民超重、肥胖状况不容乐观，国家卫健委等部门制定了《体重管理指导原则（</w:t>
      </w:r>
      <w:r>
        <w:rPr>
          <w:rFonts w:ascii="Times New Roman" w:hAnsi="Times New Roman" w:eastAsia="Times New Roman" w:cs="Times New Roman"/>
          <w:color w:val="000000"/>
        </w:rPr>
        <w:t>2024</w:t>
      </w:r>
      <w:r>
        <w:rPr>
          <w:rFonts w:ascii="宋体" w:hAnsi="宋体" w:eastAsia="宋体" w:cs="宋体"/>
          <w:color w:val="000000"/>
        </w:rPr>
        <w:t>年）》，致力于改善部分人群体重异常状况，倡导健康生活方式。</w:t>
      </w:r>
    </w:p>
    <w:p w14:paraId="71BE0D8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人体生命活动所需要的主要能源物质是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，从物质和能量角度分析，人体肥胖的原因是摄入的能量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（选填“大于”或“小于”）身体消耗的能量，导致能源物质转化为脂肪堆积。</w:t>
      </w:r>
    </w:p>
    <w:p w14:paraId="1D2AD39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肥胖会使人体代谢失衡，比如影响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（选填“生长激素”或“胰岛素”）的分泌，诱发糖尿病。心脏为血液循环提供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，当大量脂质沉积在血管内会加重心脏负担，引发心血管疾病。</w:t>
      </w:r>
    </w:p>
    <w:p w14:paraId="026A404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为探究食物和运动对体重的影响，科研人员用小鼠进行的实验过程和数据如图。</w:t>
      </w:r>
    </w:p>
    <w:p w14:paraId="77CB659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2453005"/>
            <wp:effectExtent l="0" t="0" r="0" b="4445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24531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95DDA8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阶段</w:t>
      </w:r>
      <w:r>
        <w:rPr>
          <w:rFonts w:ascii="Times New Roman" w:hAnsi="Times New Roman" w:eastAsia="Times New Roman" w:cs="Times New Roman"/>
          <w:color w:val="000000"/>
        </w:rPr>
        <w:t>Ⅰ</w:t>
      </w:r>
      <w:r>
        <w:rPr>
          <w:rFonts w:ascii="宋体" w:hAnsi="宋体" w:eastAsia="宋体" w:cs="宋体"/>
          <w:color w:val="000000"/>
        </w:rPr>
        <w:t>，将随机均分的两组小鼠，分别用标准饲料和高脂饲料进行喂养，第</w:t>
      </w:r>
      <w:r>
        <w:rPr>
          <w:rFonts w:ascii="Times New Roman" w:hAnsi="Times New Roman" w:eastAsia="Times New Roman" w:cs="Times New Roman"/>
          <w:color w:val="000000"/>
        </w:rPr>
        <w:t>11</w:t>
      </w:r>
      <w:r>
        <w:rPr>
          <w:rFonts w:ascii="宋体" w:hAnsi="宋体" w:eastAsia="宋体" w:cs="宋体"/>
          <w:color w:val="000000"/>
        </w:rPr>
        <w:t>周时高脂饲料组小鼠体重超标，成为肥胖小鼠。比较高脂饲料组与标准饲料组的实验结果，对控制体重的建议是：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20A812F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阶段</w:t>
      </w:r>
      <w:r>
        <w:rPr>
          <w:rFonts w:ascii="Times New Roman" w:hAnsi="Times New Roman" w:eastAsia="Times New Roman" w:cs="Times New Roman"/>
          <w:color w:val="000000"/>
        </w:rPr>
        <w:t>Ⅱ</w:t>
      </w:r>
      <w:r>
        <w:rPr>
          <w:rFonts w:ascii="宋体" w:hAnsi="宋体" w:eastAsia="宋体" w:cs="宋体"/>
          <w:color w:val="000000"/>
        </w:rPr>
        <w:t>，将高脂饲料组小鼠均分为甲、乙两组，仍用高脂饲料喂养，但乙组小鼠每天游泳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小时，甲组小鼠不游泳。比较甲组与乙组的实验结果，对减肥的建议是：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050C54A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大熊猫是中国的国宝，其黑白色毛发相间的经典图案广为人知，随着陕西秦岭棕白色大熊猫“七仔”（如图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）的出现，激发了人们对大熊猫毛色遗传的好奇心。请回答：</w:t>
      </w:r>
    </w:p>
    <w:p w14:paraId="1D7B483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295775" cy="1647825"/>
            <wp:effectExtent l="0" t="0" r="9525" b="9525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4295775" cy="1647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33F7F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大熊猫的性别决定方式和人类相似，据图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判断“七仔”的性别为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，其体细胞中的染色体数量为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条。</w:t>
      </w:r>
    </w:p>
    <w:p w14:paraId="36F2172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我国科学家研究发现，“七仔”棕白色毛发的棕色是由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号染色体上的隐性基因控制的性状，说明“七仔”的棕毛属于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（选填“可遗传”或“不可遗传”）变异。</w:t>
      </w:r>
    </w:p>
    <w:p w14:paraId="3DF2FF3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在遗传学中把黑白色大熊猫毛发中的“黑色”与棕白色大熊猫毛发中的“棕色”称为一对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，基因符号用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表示。“七仔”父母的体色都是黑白色，则其父母细胞中决定毛发黑色的基因组成是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.</w:t>
      </w:r>
    </w:p>
    <w:p w14:paraId="78512C7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大熊猫具有大而平的臼齿，能够咀嚼竹子，还有一根由腕骨发育而来的能够灵活抓握竹子的伪拇指（如图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），这些适应特征都是长期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的结果。</w:t>
      </w:r>
    </w:p>
    <w:p w14:paraId="3CBF135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90700" cy="1181100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17907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BFDDE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当含有大量氮、磷的污水进入淡水湖泊，会导致蓝藻大量生长繁殖引起水体污染，俗称“水华”。我国研究人员发明了用鲢鱼、鳙鱼来控制水华的方法，简称“鲢鳙控藻”。</w:t>
      </w:r>
    </w:p>
    <w:p w14:paraId="60DF843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从生态因素上看，影响蓝藻大量生长繁殖的氮、磷属于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（选填“非生物”或“生物”）因素。</w:t>
      </w:r>
    </w:p>
    <w:p w14:paraId="7C84F95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在夏季高温、高光照条件下蓝藻能通过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作用产生大量有机物而快速繁殖，鲢鱼、鳙鱼能取食蓝藻，随着捕捞的鲢鱼、鳙鱼被人食用，湖泊中的部分氮、磷也通过食物链被移出水体。请写出该描述中的一条食物链：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5F15B3F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为检验“鲢鳙控藻”的效果，研究人员于某年的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日在某湖水体原地围隔了大小相等的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三个水域，随气温升高，</w:t>
      </w:r>
      <w:r>
        <w:rPr>
          <w:rFonts w:ascii="Times New Roman" w:hAnsi="Times New Roman" w:eastAsia="Times New Roman" w:cs="Times New Roman"/>
          <w:color w:val="000000"/>
        </w:rPr>
        <w:t>7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日水域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发生水华，放养鲢鳙情况及</w:t>
      </w:r>
      <w:r>
        <w:rPr>
          <w:rFonts w:ascii="Times New Roman" w:hAnsi="Times New Roman" w:eastAsia="Times New Roman" w:cs="Times New Roman"/>
          <w:color w:val="000000"/>
        </w:rPr>
        <w:t>7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20</w:t>
      </w:r>
      <w:r>
        <w:rPr>
          <w:rFonts w:ascii="宋体" w:hAnsi="宋体" w:eastAsia="宋体" w:cs="宋体"/>
          <w:color w:val="000000"/>
        </w:rPr>
        <w:t>日观察到的结果如图所示。</w:t>
      </w:r>
    </w:p>
    <w:p w14:paraId="2CE2496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114925" cy="2162175"/>
            <wp:effectExtent l="0" t="0" r="9525" b="9525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114925" cy="2162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FBF1E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比较图中水域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和水域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的实验结果，可以得出的结论是：放养鲢鱼、鳙鱼可以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（选填“预防”或“消除”）水华。比较图中水域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和水域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的实验结果，可以得出的结论是：放养鲢鱼、鳙鱼可以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（选填“预防”或“消除”）水华。</w:t>
      </w:r>
    </w:p>
    <w:p w14:paraId="1DD4F00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“鲢鳙控藻”在我国多地取得实践成功，请你写出它的益处：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（列出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点）。</w:t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altName w:val="宋体"/>
    <w:panose1 w:val="020B0503020204020204"/>
    <w:charset w:val="86"/>
    <w:family w:val="swiss"/>
    <w:pitch w:val="default"/>
    <w:sig w:usb0="00000000" w:usb1="0000000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3D851F1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70F7204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CC3E32F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8BF8669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4749DF6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109172A6"/>
    <w:rsid w:val="1C560200"/>
    <w:rsid w:val="20562D9B"/>
    <w:rsid w:val="38274566"/>
    <w:rsid w:val="520132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qFormat/>
    <w:uiPriority w:val="0"/>
  </w:style>
  <w:style w:type="character" w:styleId="7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8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6" Type="http://schemas.openxmlformats.org/officeDocument/2006/relationships/fontTable" Target="fontTable.xml"/><Relationship Id="rId25" Type="http://schemas.openxmlformats.org/officeDocument/2006/relationships/customXml" Target="../customXml/item1.xml"/><Relationship Id="rId24" Type="http://schemas.openxmlformats.org/officeDocument/2006/relationships/image" Target="media/image15.png"/><Relationship Id="rId23" Type="http://schemas.openxmlformats.org/officeDocument/2006/relationships/image" Target="media/image14.png"/><Relationship Id="rId22" Type="http://schemas.openxmlformats.org/officeDocument/2006/relationships/image" Target="media/image13.png"/><Relationship Id="rId21" Type="http://schemas.openxmlformats.org/officeDocument/2006/relationships/image" Target="media/image12.png"/><Relationship Id="rId20" Type="http://schemas.openxmlformats.org/officeDocument/2006/relationships/image" Target="media/image11.png"/><Relationship Id="rId2" Type="http://schemas.openxmlformats.org/officeDocument/2006/relationships/settings" Target="settings.xml"/><Relationship Id="rId19" Type="http://schemas.openxmlformats.org/officeDocument/2006/relationships/image" Target="media/image10.png"/><Relationship Id="rId18" Type="http://schemas.openxmlformats.org/officeDocument/2006/relationships/image" Target="media/image9.png"/><Relationship Id="rId17" Type="http://schemas.openxmlformats.org/officeDocument/2006/relationships/image" Target="media/image8.wmf"/><Relationship Id="rId16" Type="http://schemas.openxmlformats.org/officeDocument/2006/relationships/image" Target="media/image7.png"/><Relationship Id="rId15" Type="http://schemas.openxmlformats.org/officeDocument/2006/relationships/image" Target="media/image6.wmf"/><Relationship Id="rId14" Type="http://schemas.openxmlformats.org/officeDocument/2006/relationships/image" Target="media/image5.png"/><Relationship Id="rId13" Type="http://schemas.openxmlformats.org/officeDocument/2006/relationships/image" Target="media/image4.wmf"/><Relationship Id="rId12" Type="http://schemas.openxmlformats.org/officeDocument/2006/relationships/image" Target="media/image3.png"/><Relationship Id="rId11" Type="http://schemas.openxmlformats.org/officeDocument/2006/relationships/image" Target="media/image2.png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7</Pages>
  <Words>3653</Words>
  <Characters>3965</Characters>
  <Lines>0</Lines>
  <Paragraphs>0</Paragraphs>
  <TotalTime>5</TotalTime>
  <ScaleCrop>false</ScaleCrop>
  <LinksUpToDate>false</LinksUpToDate>
  <CharactersWithSpaces>4221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2025-06-23T12:50:00Z</dcterms:created>
  <dc:creator>学科网试题生产平台</dc:creator>
  <dc:description>3782038646112256</dc:description>
  <cp:lastModifiedBy>上帝掷骰子吗</cp:lastModifiedBy>
  <dcterms:modified xsi:type="dcterms:W3CDTF">2026-02-09T06:16:58Z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2052-12.1.0.24657</vt:lpwstr>
  </property>
  <property fmtid="{D5CDD505-2E9C-101B-9397-08002B2CF9AE}" pid="7" name="ICV">
    <vt:lpwstr>9727C8551A59436B83C5379D4D36E822_12</vt:lpwstr>
  </property>
  <property fmtid="{D5CDD505-2E9C-101B-9397-08002B2CF9AE}" pid="8" name="KSOTemplateDocerSaveRecord">
    <vt:lpwstr>eyJoZGlkIjoiMjljNjk0N2RhMTc0NzI3ZTQwZWEyZWMyMzA2NzliMDQiLCJ1c2VySWQiOiI3ODUwOTA2ODcifQ==</vt:lpwstr>
  </property>
</Properties>
</file>