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FB888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11925300</wp:posOffset>
            </wp:positionV>
            <wp:extent cx="266700" cy="381000"/>
            <wp:effectExtent l="0" t="0" r="0" b="0"/>
            <wp:wrapNone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11087100</wp:posOffset>
            </wp:positionH>
            <wp:positionV relativeFrom="topMargin">
              <wp:posOffset>11772900</wp:posOffset>
            </wp:positionV>
            <wp:extent cx="393700" cy="330200"/>
            <wp:effectExtent l="0" t="0" r="6350" b="12700"/>
            <wp:wrapNone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年上海市初中学业水平考试</w:t>
      </w:r>
    </w:p>
    <w:p w14:paraId="610A56F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  <w:r>
        <w:rPr>
          <w:b/>
          <w:color w:val="auto"/>
          <w:sz w:val="32"/>
        </w:rPr>
        <w:t xml:space="preserve">    </w:t>
      </w:r>
      <w:r>
        <w:rPr>
          <w:rFonts w:ascii="宋体" w:hAnsi="宋体" w:eastAsia="宋体" w:cs="宋体"/>
          <w:b/>
          <w:color w:val="auto"/>
          <w:sz w:val="32"/>
        </w:rPr>
        <w:t>试卷</w:t>
      </w:r>
    </w:p>
    <w:p w14:paraId="4AA9E98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69DB7A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页，答题纸共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页）</w:t>
      </w:r>
    </w:p>
    <w:p w14:paraId="66B59444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B8C641F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．在试卷相应位置填写个人信息。核对条形码上的报名号、姓名，把核对无误的条形码贴在答题纸指定位置，并在相应位置填写个人信息。</w:t>
      </w:r>
    </w:p>
    <w:p w14:paraId="0BD1C7F3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．务必在答题纸上答题。须在与试卷题号对应的区域作答，不得错位，超出规定区域或答在试卷上均为无效。</w:t>
      </w:r>
    </w:p>
    <w:p w14:paraId="264C19C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特别提示：</w:t>
      </w:r>
    </w:p>
    <w:p w14:paraId="54065406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考生须按答题要求在答题纸规定的位置上作答，选择题须使用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铅笔作答。</w:t>
      </w:r>
    </w:p>
    <w:p w14:paraId="4AEE26F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 古诗文（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279734C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（一）默写与运用（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36B1D2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补写出空缺的部分</w:t>
      </w:r>
    </w:p>
    <w:p w14:paraId="0775086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（1）潭西南而望，斗折蛇行，</w:t>
      </w:r>
      <w:r>
        <w:t>__________</w:t>
      </w:r>
      <w:r>
        <w:rPr>
          <w:rFonts w:ascii="宋体" w:hAnsi="宋体" w:eastAsia="宋体" w:cs="宋体"/>
          <w:color w:val="auto"/>
        </w:rPr>
        <w:t>。《小石潭记》</w:t>
      </w:r>
    </w:p>
    <w:p w14:paraId="0DB78A0D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（2）无可奈何花落去，</w:t>
      </w:r>
      <w:r>
        <w:t>__________</w:t>
      </w:r>
      <w:r>
        <w:rPr>
          <w:rFonts w:ascii="宋体" w:hAnsi="宋体" w:eastAsia="宋体" w:cs="宋体"/>
          <w:color w:val="auto"/>
        </w:rPr>
        <w:t>。《浣溪沙（一曲新词酒一杯）》</w:t>
      </w:r>
    </w:p>
    <w:p w14:paraId="7B5FEEF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（3）</w:t>
      </w:r>
      <w:r>
        <w:t>__________</w:t>
      </w:r>
      <w:r>
        <w:rPr>
          <w:rFonts w:ascii="宋体" w:hAnsi="宋体" w:eastAsia="宋体" w:cs="宋体"/>
          <w:color w:val="auto"/>
        </w:rPr>
        <w:t>，后不见来者。《登幽州台歌》</w:t>
      </w:r>
    </w:p>
    <w:p w14:paraId="4351E9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auto"/>
        </w:rPr>
        <w:t>（4）小申在景点游玩时，看见山里风光明媚，鸟儿自在欢快地鸣叫，潭水清澈明净。他可以用常建《题破山寺后禅院》中“</w:t>
      </w:r>
      <w:r>
        <w:t>__________</w:t>
      </w:r>
      <w:r>
        <w:rPr>
          <w:rFonts w:ascii="宋体" w:hAnsi="宋体" w:eastAsia="宋体" w:cs="宋体"/>
          <w:color w:val="auto"/>
        </w:rPr>
        <w:t>，</w:t>
      </w:r>
      <w:r>
        <w:t>__________</w:t>
      </w:r>
      <w:r>
        <w:rPr>
          <w:rFonts w:ascii="宋体" w:hAnsi="宋体" w:eastAsia="宋体" w:cs="宋体"/>
          <w:color w:val="auto"/>
        </w:rPr>
        <w:t>”两句话来赞美美景。</w:t>
      </w:r>
    </w:p>
    <w:p w14:paraId="45579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517FD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阅读下列材料，完成下列小题。</w:t>
      </w:r>
    </w:p>
    <w:p w14:paraId="0ADE0FC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书戴嵩画牛</w:t>
      </w:r>
    </w:p>
    <w:p w14:paraId="1A7831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蜀中有杜处士，好书画，所宝以百数。有戴嵩《牛》一轴，尤所爱，锦囊玉轴，常以自随。</w:t>
      </w:r>
    </w:p>
    <w:p w14:paraId="6C6D12A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一日曝书画，有一牧童见之，拊掌大笑，曰：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此画斗牛也！牛斗，力在角，尾搐入两股间。今乃掉尾而斗，谬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矣。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处士笑而然之。古语有云：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耕当问奴，织当问婢。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不可改也。</w:t>
      </w:r>
    </w:p>
    <w:p w14:paraId="52700D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【注】①谬，错误。牧童认为画中牛“掉尾而斗”是错误的。实际上牛相斗时，既有“尾搐入两股间”的情形，也有“掉尾而斗”者。</w:t>
      </w:r>
    </w:p>
    <w:p w14:paraId="50BF0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本文《书戴嵩画牛》的作者是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（填写朝代）的苏轼。</w:t>
      </w:r>
    </w:p>
    <w:p w14:paraId="0CD57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小申发现“拊”字是由形旁“扌”和声旁“付”构成的，下列各字中与该字构成方式相同的是（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2E27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织</w:t>
      </w:r>
    </w:p>
    <w:p w14:paraId="31D7E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用现代汉语解释下列句子中的字，最符合的一项是</w:t>
      </w:r>
      <w:r>
        <w:rPr>
          <w:color w:val="000000"/>
        </w:rPr>
        <w:t>（     ）</w:t>
      </w:r>
    </w:p>
    <w:p w14:paraId="18BE09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）“蜀中有杜处士，好书画”中的“好”</w:t>
      </w:r>
    </w:p>
    <w:p w14:paraId="429E45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友好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喜爱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好奇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完成</w:t>
      </w:r>
    </w:p>
    <w:p w14:paraId="215D5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）“有一牧童见之，拊掌大笑”中的“见”</w:t>
      </w:r>
      <w:r>
        <w:rPr>
          <w:color w:val="000000"/>
        </w:rPr>
        <w:t>（     ）</w:t>
      </w:r>
    </w:p>
    <w:p w14:paraId="53727D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拜见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知道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看见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了解</w:t>
      </w:r>
    </w:p>
    <w:p w14:paraId="6A7F7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下列对句子“锦囊玉轴，常以自随”的翻译中，最正确的一项是（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12AC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用锦缎和玉作装饰，经常自由携带。</w:t>
      </w:r>
    </w:p>
    <w:p w14:paraId="1E71C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用锦缎和玉作装饰，经常随身携带。</w:t>
      </w:r>
    </w:p>
    <w:p w14:paraId="717E5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用锦缎作画囊，用玉作画轴，经常自由携带。</w:t>
      </w:r>
    </w:p>
    <w:p w14:paraId="540B1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用锦缎作画囊，用玉作画轴，经常随身携带。</w:t>
      </w:r>
    </w:p>
    <w:p w14:paraId="6F96A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下列对牧童“笑”的人物形象分析，结合选文</w:t>
      </w:r>
      <w:r>
        <w:rPr>
          <w:rFonts w:ascii="宋体" w:hAnsi="宋体" w:eastAsia="宋体" w:cs="宋体"/>
          <w:color w:val="000000"/>
          <w:em w:val="dot"/>
          <w:lang w:eastAsia="zh-CN"/>
        </w:rPr>
        <w:t>及注释</w:t>
      </w:r>
      <w:r>
        <w:rPr>
          <w:rFonts w:ascii="宋体" w:hAnsi="宋体" w:eastAsia="宋体" w:cs="宋体"/>
          <w:color w:val="000000"/>
        </w:rPr>
        <w:t>，表述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8BB7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天真直率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哗众取宠</w:t>
      </w:r>
    </w:p>
    <w:p w14:paraId="14BAD6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认识有限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敢于质疑</w:t>
      </w:r>
    </w:p>
    <w:p w14:paraId="23481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小申在对《书戴嵩画牛》进行进一步探究时，查阅到了王若虚的《滹南诗话》中与苏轼有关的论述。</w:t>
      </w:r>
    </w:p>
    <w:p w14:paraId="133742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东坡云：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论画以形似，见与儿童邻。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夫所贵于画者，为其似耳；画而不似，则如勿画。命题赋诗，不必此诗，果为何语？然则东坡之论非欤？曰：论妙于形似之外，而非遗其形似，不窘于题，而要不失其题，如是而已耳。</w:t>
      </w:r>
    </w:p>
    <w:p w14:paraId="1A8E09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小申发现苏轼在《书戴嵩画牛》中认为创作者在绘画时，形似很重要；然而在这则材料中，苏轼认为“论画以形似，见与儿童邻”，这看似矛盾。然而，苏轼在《书戴嵩画牛》中认为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，可见形似很重要；但是苏轼还指出，如果作画仅仅追求形似，那么见识就和孩童差不多，而画所珍贵的就是它的相似，由此可见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。（两空均用自己的话回答）</w:t>
      </w:r>
    </w:p>
    <w:p w14:paraId="236952C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 现代文（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2276F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</w:t>
      </w:r>
    </w:p>
    <w:p w14:paraId="2A78E3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阅读下列材料，完成小题。</w:t>
      </w:r>
    </w:p>
    <w:p w14:paraId="6405D9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小申看到了一篇有关我国“人与自然和谐共生”的新闻报道。</w:t>
      </w:r>
    </w:p>
    <w:p w14:paraId="65E1A0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①略</w:t>
      </w:r>
    </w:p>
    <w:p w14:paraId="7494A3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②全国已记录陆生脊椎动物约</w:t>
      </w:r>
      <w:r>
        <w:rPr>
          <w:rFonts w:ascii="Times New Roman" w:hAnsi="Times New Roman" w:eastAsia="Times New Roman" w:cs="Times New Roman"/>
          <w:color w:val="000000"/>
        </w:rPr>
        <w:t>3100</w:t>
      </w:r>
      <w:r>
        <w:rPr>
          <w:rFonts w:ascii="楷体" w:hAnsi="楷体" w:eastAsia="楷体" w:cs="楷体"/>
          <w:color w:val="000000"/>
        </w:rPr>
        <w:t>种，高等植物</w:t>
      </w:r>
      <w:r>
        <w:rPr>
          <w:rFonts w:ascii="Times New Roman" w:hAnsi="Times New Roman" w:eastAsia="Times New Roman" w:cs="Times New Roman"/>
          <w:color w:val="000000"/>
        </w:rPr>
        <w:t>3.9</w:t>
      </w:r>
      <w:r>
        <w:rPr>
          <w:rFonts w:ascii="楷体" w:hAnsi="楷体" w:eastAsia="楷体" w:cs="楷体"/>
          <w:color w:val="000000"/>
        </w:rPr>
        <w:t>万余种，已定名昆虫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楷体" w:hAnsi="楷体" w:eastAsia="楷体" w:cs="楷体"/>
          <w:color w:val="000000"/>
        </w:rPr>
        <w:t>万种，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楷体" w:hAnsi="楷体" w:eastAsia="楷体" w:cs="楷体"/>
          <w:color w:val="000000"/>
        </w:rPr>
        <w:t>多种珍稀濒危野生动植物野外种群数量稳中有升，近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楷体" w:hAnsi="楷体" w:eastAsia="楷体" w:cs="楷体"/>
          <w:color w:val="000000"/>
        </w:rPr>
        <w:t>种野生动植物受威胁等级下降，国家重点保护陆生野生动物和野生植物种数保护率达到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楷体" w:hAnsi="楷体" w:eastAsia="楷体" w:cs="楷体"/>
          <w:color w:val="000000"/>
        </w:rPr>
        <w:t>以上，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楷体" w:hAnsi="楷体" w:eastAsia="楷体" w:cs="楷体"/>
          <w:color w:val="000000"/>
        </w:rPr>
        <w:t>的陆地生态系统类型和</w:t>
      </w:r>
      <w:r>
        <w:rPr>
          <w:rFonts w:ascii="Times New Roman" w:hAnsi="Times New Roman" w:eastAsia="Times New Roman" w:cs="Times New Roman"/>
          <w:color w:val="000000"/>
        </w:rPr>
        <w:t>74%</w:t>
      </w:r>
      <w:r>
        <w:rPr>
          <w:rFonts w:ascii="楷体" w:hAnsi="楷体" w:eastAsia="楷体" w:cs="楷体"/>
          <w:color w:val="000000"/>
        </w:rPr>
        <w:t>的国家重点保护野生动植物种群得到有效保护。同时，长江江豚自然种群数量实现历史性止跌回升，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年恢复至</w:t>
      </w:r>
      <w:r>
        <w:rPr>
          <w:rFonts w:ascii="Times New Roman" w:hAnsi="Times New Roman" w:eastAsia="Times New Roman" w:cs="Times New Roman"/>
          <w:color w:val="000000"/>
        </w:rPr>
        <w:t>1426</w:t>
      </w:r>
      <w:r>
        <w:rPr>
          <w:rFonts w:ascii="楷体" w:hAnsi="楷体" w:eastAsia="楷体" w:cs="楷体"/>
          <w:color w:val="000000"/>
        </w:rPr>
        <w:t>头，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年全国越冬水鸟同步监测记录到水鸟</w:t>
      </w:r>
      <w:r>
        <w:rPr>
          <w:rFonts w:ascii="Times New Roman" w:hAnsi="Times New Roman" w:eastAsia="Times New Roman" w:cs="Times New Roman"/>
          <w:color w:val="000000"/>
        </w:rPr>
        <w:t>632.4</w:t>
      </w:r>
      <w:r>
        <w:rPr>
          <w:rFonts w:ascii="楷体" w:hAnsi="楷体" w:eastAsia="楷体" w:cs="楷体"/>
          <w:color w:val="000000"/>
        </w:rPr>
        <w:t>万只，创历史最高纪录。我国还是首批签署、批准《生物多样性公约》的国家之一，通过各类国际会议，实现了从全球环境治理参与者到引领者的转变。</w:t>
      </w:r>
    </w:p>
    <w:p w14:paraId="7CB82A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③上海某地在施工时，发现野生狗獾种群。为了保护狗獾，暂缓总投资超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亿元的建设工程两年，为狗獾营造适宜生境。改造项目投入超</w:t>
      </w:r>
      <w:r>
        <w:rPr>
          <w:rFonts w:ascii="Times New Roman" w:hAnsi="Times New Roman" w:eastAsia="Times New Roman" w:cs="Times New Roman"/>
          <w:color w:val="000000"/>
        </w:rPr>
        <w:t>1100</w:t>
      </w:r>
      <w:r>
        <w:rPr>
          <w:rFonts w:ascii="楷体" w:hAnsi="楷体" w:eastAsia="楷体" w:cs="楷体"/>
          <w:color w:val="000000"/>
        </w:rPr>
        <w:t>万元，模拟天然洞穴建造双层人工巢穴。栖息地建成后，通过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零应激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零损伤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的科学诱导方式，成功将原址的狗獾自然引迁至新家园。截至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年底，狗獾在顺利安家后，数量已翻了一番。</w:t>
      </w:r>
    </w:p>
    <w:p w14:paraId="744794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④略</w:t>
      </w:r>
    </w:p>
    <w:p w14:paraId="46720EA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⑤略</w:t>
      </w:r>
    </w:p>
    <w:p w14:paraId="29DC6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 xml:space="preserve">文章第②段中的事件与数据，能共同体现的一项是（ 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09D50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我国坚持人与自然和谐共生，走绿色发展道路。</w:t>
      </w:r>
    </w:p>
    <w:p w14:paraId="5EC35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我国科学研究调查团队已成为国际骨干力量，国际地位高。</w:t>
      </w:r>
    </w:p>
    <w:p w14:paraId="29079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我国在生物多样性保护方面取得成效，展现了大国担当。</w:t>
      </w:r>
    </w:p>
    <w:p w14:paraId="7C9EB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我国生态治理力度大，国际地位提升。</w:t>
      </w:r>
    </w:p>
    <w:p w14:paraId="35B5AA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根据文章第③段，完成流程图填空。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10"/>
        <w:gridCol w:w="450"/>
        <w:gridCol w:w="2037"/>
        <w:gridCol w:w="450"/>
        <w:gridCol w:w="2037"/>
        <w:gridCol w:w="450"/>
        <w:gridCol w:w="1261"/>
      </w:tblGrid>
      <w:tr w14:paraId="52B66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5916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发现狗獾停止施工</w:t>
            </w:r>
          </w:p>
        </w:tc>
        <w:tc>
          <w:tcPr>
            <w:tcW w:w="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EAE5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DB2C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</w:t>
            </w:r>
          </w:p>
        </w:tc>
        <w:tc>
          <w:tcPr>
            <w:tcW w:w="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1673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3DF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</w:t>
            </w:r>
          </w:p>
        </w:tc>
        <w:tc>
          <w:tcPr>
            <w:tcW w:w="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BE79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587F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狗獾数量增长</w:t>
            </w:r>
          </w:p>
        </w:tc>
      </w:tr>
    </w:tbl>
    <w:p w14:paraId="3A927353">
      <w:pPr>
        <w:spacing w:line="360" w:lineRule="auto"/>
        <w:jc w:val="left"/>
        <w:textAlignment w:val="center"/>
        <w:rPr>
          <w:color w:val="000000"/>
        </w:rPr>
      </w:pPr>
    </w:p>
    <w:p w14:paraId="7EA24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小申对我国的生物多样性保护事业很感兴趣，在此基础上又进行信息搜寻，并做了三则笔记：</w:t>
      </w:r>
    </w:p>
    <w:p w14:paraId="49438B2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笔记一</w:t>
      </w:r>
      <w:r>
        <w:rPr>
          <w:rFonts w:ascii="楷体" w:hAnsi="楷体" w:eastAsia="楷体" w:cs="楷体"/>
          <w:color w:val="000000"/>
        </w:rPr>
        <w:t xml:space="preserve">  组建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市民科学家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团队</w:t>
      </w:r>
      <w:r>
        <w:rPr>
          <w:rFonts w:ascii="宋体" w:hAnsi="宋体" w:eastAsia="宋体" w:cs="宋体"/>
          <w:color w:val="000000"/>
        </w:rPr>
        <w:t>……（下文略）</w:t>
      </w:r>
    </w:p>
    <w:p w14:paraId="167F1B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笔记二</w:t>
      </w:r>
      <w:r>
        <w:rPr>
          <w:rFonts w:ascii="楷体" w:hAnsi="楷体" w:eastAsia="楷体" w:cs="楷体"/>
          <w:color w:val="000000"/>
        </w:rPr>
        <w:t xml:space="preserve">  市民对城市中的野生动物感到好奇，一路跟着后被野生动物吓到的第一人称日记</w:t>
      </w:r>
      <w:r>
        <w:rPr>
          <w:rFonts w:ascii="宋体" w:hAnsi="宋体" w:eastAsia="宋体" w:cs="宋体"/>
          <w:color w:val="000000"/>
        </w:rPr>
        <w:t>……（下文略）</w:t>
      </w:r>
    </w:p>
    <w:p w14:paraId="5F2C7B3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笔记三</w:t>
      </w:r>
      <w:r>
        <w:rPr>
          <w:rFonts w:ascii="楷体" w:hAnsi="楷体" w:eastAsia="楷体" w:cs="楷体"/>
          <w:color w:val="000000"/>
        </w:rPr>
        <w:t xml:space="preserve">  部分居民对野生动物进入城市持不同看法</w:t>
      </w:r>
      <w:r>
        <w:rPr>
          <w:rFonts w:ascii="宋体" w:hAnsi="宋体" w:eastAsia="宋体" w:cs="宋体"/>
          <w:color w:val="000000"/>
        </w:rPr>
        <w:t>……（下文略）</w:t>
      </w:r>
    </w:p>
    <w:p w14:paraId="48819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小申为了进一步了解青少年参与“生物多样性保护”宣传活动的相关情况，准备了三个采访问题。</w:t>
      </w:r>
    </w:p>
    <w:p w14:paraId="54CB9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请你在结合全部材料的基础上，对小申的三个问题进行评析。</w:t>
      </w:r>
    </w:p>
    <w:p w14:paraId="5A0C1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问题一：青少年参加科学性活动需要具备怎样的素质？</w:t>
      </w:r>
    </w:p>
    <w:p w14:paraId="52FC7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问题二：市民朋友们对于野生动物进入城市有什么顾虑？</w:t>
      </w:r>
    </w:p>
    <w:p w14:paraId="191E0B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问题三：青少年参与“生物多样性保护”宣传活动，有什么注意事项？</w:t>
      </w:r>
    </w:p>
    <w:p w14:paraId="5CDA3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评析角度：（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）问题是否贴合采访目的；</w:t>
      </w:r>
    </w:p>
    <w:p w14:paraId="06D98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）问题二是否与现有材料重复。</w:t>
      </w:r>
    </w:p>
    <w:p w14:paraId="11D8E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05051E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阅读文章，完成小题</w:t>
      </w:r>
    </w:p>
    <w:p w14:paraId="14C011E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空中杂货铺</w:t>
      </w:r>
    </w:p>
    <w:p w14:paraId="3B2F90D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①这是老古经营这家地面杂货铺的第五十六年，他终于下定决心离开这里。</w:t>
      </w:r>
    </w:p>
    <w:p w14:paraId="36AACB9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您当然可以继续留在这里，但要知道，一家开在地面的杂货铺，对于现代人来说可并不便捷。所以，您为什么不把您的杂货铺开到天上去呢？</w:t>
      </w:r>
      <w:r>
        <w:rPr>
          <w:rFonts w:ascii="宋体" w:hAnsi="宋体" w:eastAsia="宋体" w:cs="宋体"/>
          <w:color w:val="000000"/>
        </w:rPr>
        <w:t>”</w:t>
      </w:r>
    </w:p>
    <w:p w14:paraId="034D07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这句话打动了老古，他决定开一家空中杂货铺。得益于这么多年的积蓄，空中飞行器的采办变得容易起来，而真正困难的事是考取飞行器驾驶证。老古已经七十六岁了，在他还是少年的时候，人们都还在地面生活。那时，老古看着路上驶过的汽车，觉得汽车就是一只巨大的甲虫；现在，老古看着空中飞过的飞船，花花绿绿的涂色看起来更像一只瓢虫。人类花了五十年的时间，将一只甲虫变成了一只瓢虫。老古被自己的想法</w:t>
      </w:r>
      <w:r>
        <w:rPr>
          <w:rFonts w:ascii="楷体" w:hAnsi="楷体" w:eastAsia="楷体" w:cs="楷体"/>
          <w:b/>
          <w:color w:val="000000"/>
          <w:em w:val="dot"/>
          <w:lang w:eastAsia="zh-CN"/>
        </w:rPr>
        <w:t>逗乐了</w:t>
      </w:r>
      <w:r>
        <w:rPr>
          <w:rFonts w:ascii="楷体" w:hAnsi="楷体" w:eastAsia="楷体" w:cs="楷体"/>
          <w:color w:val="000000"/>
        </w:rPr>
        <w:t>，连带着看眼前这只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瓢虫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也可爱起来。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就让老古也赶一回时髦吧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，老古这样想着，坐进了驾驶舱。</w:t>
      </w:r>
    </w:p>
    <w:p w14:paraId="6D6997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④终于，在三年后那栋摩天大厦落地建成时，老古如愿以偿地拿到了他的空中飞行器驾驶证。</w:t>
      </w:r>
    </w:p>
    <w:p w14:paraId="12D00C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⑤老古的故事很快受到了大众的关注。面对人们或好奇或探究的目光，老古平生第一次感到如此局促。他的回答只有一句话：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我想开一间空中杂货铺。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除此之外，老古说不出什么更漂亮的话，但人们对这个答复并不满意。</w:t>
      </w:r>
    </w:p>
    <w:p w14:paraId="7CF97BA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⑥老古的故事就这样在润色和想象中不断丰满起来，以老古为原型的人物纷纷被搬上了舞台和荧幕，老古很快成为这座城市的名人。老古似乎不再仅仅是老古，而成为了</w:t>
      </w:r>
      <w:r>
        <w:rPr>
          <w:rFonts w:ascii="楷体" w:hAnsi="楷体" w:eastAsia="楷体" w:cs="楷体"/>
          <w:color w:val="000000"/>
          <w:em w:val="dot"/>
          <w:lang w:eastAsia="zh-CN"/>
        </w:rPr>
        <w:t>某种精神</w:t>
      </w:r>
      <w:r>
        <w:rPr>
          <w:rFonts w:ascii="楷体" w:hAnsi="楷体" w:eastAsia="楷体" w:cs="楷体"/>
          <w:color w:val="000000"/>
        </w:rPr>
        <w:t>的象征，画有老古和他那间空中杂货铺的海报贴满了大街小巷。</w:t>
      </w:r>
    </w:p>
    <w:p w14:paraId="237EE0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老古现在每天都要工作十几个小时，顾客从月初排到月末。日子就在签名、握手和合影中一天天过去。起初，老古为此而自豪，人们需要他，就像需要汽车、飞船、摩天大厦那样，需要一间杂货铺。可渐渐地，老古感到难过，因为人们需要的不是杂货铺里的商品，而是那些被虚构出来的符号和标签。</w:t>
      </w:r>
    </w:p>
    <w:p w14:paraId="14C446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老古终于下定决心，就像当初他决定要开一家空中杂货铺那样，老古决定永久地关闭它。这是他经营这家空中杂货铺的第二年，他生命中的绝大部分时光都围绕着杂货铺打转。老古不知道关闭杂货铺之后，他的生活将会变成什么样，但他决心这样做。</w:t>
      </w:r>
    </w:p>
    <w:p w14:paraId="76F2C90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好吧，现在，我要迎来新的生活了。我也该用最后的时光到处看看，去旅游也许是个不错的选择。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老古对自己说。</w:t>
      </w:r>
    </w:p>
    <w:p w14:paraId="26D290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⑩老古拍了拍飞行器的机身，和他的伙计做最后的告别，就在他关上杂货铺大门的那一刻，电话铃声响了。</w:t>
      </w:r>
    </w:p>
    <w:p w14:paraId="144B109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您好，请问是老古的空中杂货铺吗？我是第</w:t>
      </w:r>
      <w:r>
        <w:rPr>
          <w:rFonts w:ascii="Times New Roman" w:hAnsi="Times New Roman" w:eastAsia="Times New Roman" w:cs="Times New Roman"/>
          <w:color w:val="000000"/>
        </w:rPr>
        <w:t>100169</w:t>
      </w:r>
      <w:r>
        <w:rPr>
          <w:rFonts w:ascii="楷体" w:hAnsi="楷体" w:eastAsia="楷体" w:cs="楷体"/>
          <w:color w:val="000000"/>
        </w:rPr>
        <w:t>号预约的顾客，我从半年前就开始预约了，我想要</w:t>
      </w:r>
      <w:r>
        <w:rPr>
          <w:rFonts w:ascii="宋体" w:hAnsi="宋体" w:eastAsia="宋体" w:cs="宋体"/>
          <w:color w:val="000000"/>
        </w:rPr>
        <w:t>……”</w:t>
      </w:r>
      <w:r>
        <w:rPr>
          <w:rFonts w:ascii="楷体" w:hAnsi="楷体" w:eastAsia="楷体" w:cs="楷体"/>
          <w:color w:val="000000"/>
        </w:rPr>
        <w:t>稚嫩的声音从电话那头传来，听起来是一个小男孩。</w:t>
      </w:r>
    </w:p>
    <w:p w14:paraId="352E15D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很抱歉，老古不再接受签名、握手和合影服务，老古要关掉他的杂货铺了。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老古说道。</w:t>
      </w:r>
    </w:p>
    <w:p w14:paraId="7671517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我不要签名也不要合影，我的玩具摔坏了，我需要一枚螺丝钉，可是这种型号的只有你这里才有。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电话那头的声音逐渐变得沮丧。</w:t>
      </w:r>
    </w:p>
    <w:p w14:paraId="1F5149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等等，你是说你需要一枚螺丝钉是吗？老古的空中杂货铺很荣幸为您营业</w:t>
      </w:r>
      <w:r>
        <w:rPr>
          <w:rFonts w:ascii="宋体" w:hAnsi="宋体" w:eastAsia="宋体" w:cs="宋体"/>
          <w:color w:val="000000"/>
        </w:rPr>
        <w:t>……”</w:t>
      </w:r>
    </w:p>
    <w:p w14:paraId="6A2416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⑮直到电话挂断的那一刻，老古的手还在微微颤抖。</w:t>
      </w:r>
    </w:p>
    <w:p w14:paraId="37B4A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 xml:space="preserve">下列对第③段中老古被逗乐的分析，正确的一项是（ 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8FBC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老古因把汽车比作甲虫，把飞行器比作瓢虫，调侃现代科技发展而被逗乐。</w:t>
      </w:r>
    </w:p>
    <w:p w14:paraId="0DA07D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老古因看到现代科技飞速发展而感到欣慰。</w:t>
      </w:r>
    </w:p>
    <w:p w14:paraId="17D91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老古因想到要开着像瓢虫一样的飞行器进入杂货铺，感到有趣而被逗乐。</w:t>
      </w:r>
    </w:p>
    <w:p w14:paraId="614AE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老古因今后可以开飞行器进入杂货铺，感到方便而被逗乐。</w:t>
      </w:r>
    </w:p>
    <w:p w14:paraId="364F9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文章第⑥段中老古“某种精神”具体指的是：</w:t>
      </w:r>
    </w:p>
    <w:p w14:paraId="43597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。</w:t>
      </w:r>
    </w:p>
    <w:p w14:paraId="1B1D0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文中给老古打来电话的是小男孩而不是成年人，请分析作者的用意。</w:t>
      </w:r>
    </w:p>
    <w:p w14:paraId="2A8EA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在接了小男孩的电话后，你认为老古的空中杂货铺会继续营业还是停业？请进行推测，并说明理由。</w:t>
      </w:r>
    </w:p>
    <w:p w14:paraId="5E54AE3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 综合运用（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BB81C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小申所在的学校即将举办“《红星照耀中国》名著阅读展”。作为策展小组的一员，请你参与策划布展。</w:t>
      </w:r>
    </w:p>
    <w:p w14:paraId="2B0E0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 xml:space="preserve">小组成员办读书展，收集了人们对以往展览的看法，下列对甲、乙、丙、丁四人看法分析中，不恰当的一项是（ 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75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45"/>
      </w:tblGrid>
      <w:tr w14:paraId="2B484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9443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甲：展览的布局和展品选择都很有条理，看得出策划者花了很多心思。</w:t>
            </w:r>
          </w:p>
          <w:p w14:paraId="0B59C2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乙：展览很好，但是看的人太少了，不够热闹。</w:t>
            </w:r>
          </w:p>
          <w:p w14:paraId="3FEAE3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丙：展览确实很用心，但是内容太少了。</w:t>
            </w:r>
          </w:p>
          <w:p w14:paraId="2604E81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丁：展览内容很好，可是全都是摘录、摘抄，缺少互动。</w:t>
            </w:r>
          </w:p>
        </w:tc>
      </w:tr>
    </w:tbl>
    <w:p w14:paraId="2C121D9D">
      <w:pPr>
        <w:spacing w:line="360" w:lineRule="auto"/>
        <w:jc w:val="left"/>
        <w:textAlignment w:val="center"/>
        <w:rPr>
          <w:color w:val="000000"/>
        </w:rPr>
      </w:pPr>
    </w:p>
    <w:p w14:paraId="60737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甲认为展品布局有条理。</w:t>
      </w:r>
    </w:p>
    <w:p w14:paraId="44AFD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乙认为展览的参观者太少。</w:t>
      </w:r>
    </w:p>
    <w:p w14:paraId="593DC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丙认为展览质量不够高。</w:t>
      </w:r>
    </w:p>
    <w:p w14:paraId="23A64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丁认为展览缺乏互动性。</w:t>
      </w:r>
    </w:p>
    <w:p w14:paraId="4E0F7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 xml:space="preserve">同学们在设计展览开场白的时候，写了下面四句话。其中排序正确的一项是（ 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340781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①他将通过采访得到的内容，写成了《红星照耀中国》一书。</w:t>
      </w:r>
    </w:p>
    <w:p w14:paraId="7C6F70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1936</w:t>
      </w:r>
      <w:r>
        <w:rPr>
          <w:rFonts w:ascii="楷体" w:hAnsi="楷体" w:eastAsia="楷体" w:cs="楷体"/>
          <w:color w:val="000000"/>
        </w:rPr>
        <w:t>年，美国记者埃德加·斯诺深入当时的红军进行采访。</w:t>
      </w:r>
    </w:p>
    <w:p w14:paraId="779A0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③让我们跟随展览一起，深入了解《红星照耀中国》。</w:t>
      </w:r>
    </w:p>
    <w:p w14:paraId="3A1A04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④它真实地向全世界展现了中国共产党的面貌，再现了当时红色中国的样子。</w:t>
      </w:r>
    </w:p>
    <w:p w14:paraId="072AB2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楷体" w:hAnsi="楷体" w:eastAsia="楷体" w:cs="楷体"/>
          <w:color w:val="000000"/>
        </w:rPr>
        <w:t>②①④③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楷体" w:hAnsi="楷体" w:eastAsia="楷体" w:cs="楷体"/>
          <w:color w:val="000000"/>
        </w:rPr>
        <w:t>③①②④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楷体" w:hAnsi="楷体" w:eastAsia="楷体" w:cs="楷体"/>
          <w:color w:val="000000"/>
        </w:rPr>
        <w:t>②④①③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楷体" w:hAnsi="楷体" w:eastAsia="楷体" w:cs="楷体"/>
          <w:color w:val="000000"/>
        </w:rPr>
        <w:t>②③①④</w:t>
      </w:r>
    </w:p>
    <w:p w14:paraId="21D5F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同学们又为展板补充了以下两则材料：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93"/>
        <w:gridCol w:w="4932"/>
      </w:tblGrid>
      <w:tr w14:paraId="7D8B8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3C01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七律·长征</w:t>
            </w:r>
          </w:p>
          <w:p w14:paraId="7C5CA6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毛泽东</w:t>
            </w:r>
          </w:p>
          <w:p w14:paraId="4614AD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红军不怕远征难，万水千山只等闲。</w:t>
            </w:r>
          </w:p>
          <w:p w14:paraId="4C820F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五岭逶迤腾细浪，乌蒙磅礴走泥丸。</w:t>
            </w:r>
          </w:p>
          <w:p w14:paraId="0CE6E8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金沙水拍云崖暖，大渡桥横铁索寒。</w:t>
            </w:r>
          </w:p>
          <w:p w14:paraId="5E35EF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更喜岷山千里雪，三军过后尽开颜。</w:t>
            </w:r>
          </w:p>
        </w:tc>
        <w:tc>
          <w:tcPr>
            <w:tcW w:w="5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5AAE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《红星照耀中国》中有关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强渡大渡河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的选段：</w:t>
            </w:r>
          </w:p>
          <w:p w14:paraId="1F1D2430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突然，他们在南岸的同志们开始兴高采烈地高呼：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红军万岁！革命万岁！大渡河三十英雄万岁！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原来白军已经仓惶后撤！进攻的红军全速前进，冒着舔人的火焰冲过了余下的桥板。纵身跳进敌人碉堡，把敌人机枪调转头来对准岸上。</w:t>
            </w:r>
          </w:p>
          <w:p w14:paraId="60A0C61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这时便有更多的红军蜂拥爬上了铁索，赶来扑灭了火焰，铺上了新板。不久，在安顺场过了河的一师红军也出现了，对残余的敌军阵地展开侧翼进攻，这样没有多久白军就全部窜逃——有的是窜逃，有的是同红军一起追击，因为有一百左右的四川军队缴械投诚，参加追击。一两个小时之内，全军就兴高采烈地一边放声高唱，一边渡过了大渡河，进入了四川境内。</w:t>
            </w:r>
          </w:p>
        </w:tc>
      </w:tr>
    </w:tbl>
    <w:p w14:paraId="59B35F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对于补充的两则材料的分析，正确的一项是（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1BA3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文体互补，体现展览的一致性。</w:t>
      </w:r>
    </w:p>
    <w:p w14:paraId="6F491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相互印证，展现展品的丰富性。</w:t>
      </w:r>
    </w:p>
    <w:p w14:paraId="66BA3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都是纪实作品，便于读者了解背景信息。</w:t>
      </w:r>
    </w:p>
    <w:p w14:paraId="34BF3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都具有抒情性，便于读者把握情感。</w:t>
      </w:r>
    </w:p>
    <w:p w14:paraId="77BB4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小语与小文正在进行对话。请你结合上下文，补全对话。</w:t>
      </w:r>
    </w:p>
    <w:p w14:paraId="5DCD33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小语：这个名著阅读展览办得真好，我觉得看名著展比读原著有意思多了。</w:t>
      </w:r>
    </w:p>
    <w:p w14:paraId="6AAFC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小文：是的，看展有利于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5C1E95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小语：那么是不是说明看名著展可以代替阅读原著？</w:t>
      </w:r>
    </w:p>
    <w:p w14:paraId="47E0EA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小文：并不能。理由一：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；理由二：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。因此，看名著展并不能代替阅读原著，而是应该二者相结合，让名著展帮助我们更好地理解原著内容。</w:t>
      </w:r>
    </w:p>
    <w:p w14:paraId="42F2321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 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180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按要求作文。</w:t>
      </w:r>
    </w:p>
    <w:p w14:paraId="482ABB9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愿望实现以后，还会发生什么呢？</w:t>
      </w:r>
    </w:p>
    <w:p w14:paraId="28D37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请以“如愿以偿之后”为题，写一篇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字左右的文章。</w:t>
      </w:r>
    </w:p>
    <w:p w14:paraId="24220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）不得透露个人相关信息；（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）不得抄袭。</w:t>
      </w:r>
    </w:p>
    <w:p w14:paraId="2CB4D33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113E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8B3B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D1E8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B643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BC5A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D68151A"/>
    <w:rsid w:val="4F22314A"/>
    <w:rsid w:val="4FDC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4658</Words>
  <Characters>4941</Characters>
  <Lines>0</Lines>
  <Paragraphs>0</Paragraphs>
  <TotalTime>0</TotalTime>
  <ScaleCrop>false</ScaleCrop>
  <LinksUpToDate>false</LinksUpToDate>
  <CharactersWithSpaces>5072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2026-09-13T13:42:56Z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EB78ECA5F36A43B0A5C7249CD7CED2C4_12</vt:lpwstr>
  </property>
</Properties>
</file>