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3DA48">
      <w:pPr>
        <w:spacing w:before="0" w:after="0" w:line="359" w:lineRule="exact"/>
        <w:ind w:left="1464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353.85pt;margin-top:236.1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4" o:spid="_x0000_s1030" o:spt="75" type="#_x0000_t75" style="position:absolute;left:0pt;margin-left:364.35pt;margin-top:236.1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5" o:spid="_x0000_s1031" o:spt="75" type="#_x0000_t75" style="position:absolute;left:0pt;margin-left:374.85pt;margin-top:236.1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6" o:spid="_x0000_s1032" o:spt="75" type="#_x0000_t75" style="position:absolute;left:0pt;margin-left:68.8pt;margin-top:298.45pt;height:20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7" o:spid="_x0000_s1033" o:spt="75" type="#_x0000_t75" style="position:absolute;left:0pt;margin-left:189.6pt;margin-top:298.45pt;height:20pt;width:2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8" o:spid="_x0000_s1034" o:spt="75" type="#_x0000_t75" style="position:absolute;left:0pt;margin-left:311.85pt;margin-top:298.45pt;height:20pt;width:2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9" o:spid="_x0000_s1035" o:spt="75" type="#_x0000_t75" style="position:absolute;left:0pt;margin-left:434.2pt;margin-top:298.45pt;height:20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0" o:spid="_x0000_s1036" o:spt="75" type="#_x0000_t75" style="position:absolute;left:0pt;margin-left:53pt;margin-top:351.7pt;height:116.05pt;width:194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1" o:spid="_x0000_s1037" o:spt="75" type="#_x0000_t75" style="position:absolute;left:0pt;margin-left:213.6pt;margin-top:571.55pt;height:20pt;width:5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12" o:spid="_x0000_s1038" o:spt="75" type="#_x0000_t75" style="position:absolute;left:0pt;margin-left:164.8pt;margin-top:625.55pt;height:20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13" o:spid="_x0000_s1039" o:spt="75" type="#_x0000_t75" style="position:absolute;left:0pt;margin-left:68.05pt;margin-top:657.15pt;height:20pt;width:5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14" o:spid="_x0000_s1040" o:spt="75" type="#_x0000_t75" style="position:absolute;left:0pt;margin-left:68.8pt;margin-top:711.9pt;height:20pt;width:5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pict>
          <v:shape id="_x000015" o:spid="_x0000_s1041" o:spt="75" type="#_x0000_t75" style="position:absolute;left:0pt;margin-left:248.85pt;margin-top:751.7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6" o:spid="_x0000_s1042" o:spt="75" type="#_x0000_t75" style="position:absolute;left:0pt;margin-left:259.35pt;margin-top:751.7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7" o:spid="_x0000_s1043" o:spt="75" type="#_x0000_t75" style="position:absolute;left:0pt;margin-left:269.85pt;margin-top:751.7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2026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1"/>
          <w:sz w:val="32"/>
        </w:rPr>
        <w:t>年普通高中学业水平选择性考试（江西卷）</w:t>
      </w:r>
    </w:p>
    <w:p w14:paraId="07267FCB">
      <w:pPr>
        <w:spacing w:before="282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化学</w:t>
      </w:r>
    </w:p>
    <w:p w14:paraId="1A4496EA">
      <w:pPr>
        <w:spacing w:before="244" w:after="0" w:line="276" w:lineRule="exact"/>
        <w:ind w:left="276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本试卷满分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分，考试用时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75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1D08A1F9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可能用到的相对原子质量：</w:t>
      </w:r>
      <w:r>
        <w:rPr>
          <w:rFonts w:ascii="Times New Roman"/>
          <w:b/>
          <w:color w:val="000000"/>
          <w:spacing w:val="0"/>
          <w:sz w:val="24"/>
        </w:rPr>
        <w:t>H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12</w:t>
      </w:r>
      <w:r>
        <w:rPr>
          <w:rFonts w:ascii="Times New Roman"/>
          <w:b/>
          <w:color w:val="000000"/>
          <w:spacing w:val="18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14</w:t>
      </w:r>
      <w:r>
        <w:rPr>
          <w:rFonts w:ascii="Times New Roman"/>
          <w:b/>
          <w:color w:val="000000"/>
          <w:spacing w:val="18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16</w:t>
      </w:r>
      <w:r>
        <w:rPr>
          <w:rFonts w:ascii="Times New Roman"/>
          <w:b/>
          <w:color w:val="000000"/>
          <w:spacing w:val="181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Cl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35.5</w:t>
      </w:r>
      <w:r>
        <w:rPr>
          <w:rFonts w:ascii="Times New Roman"/>
          <w:b/>
          <w:color w:val="000000"/>
          <w:spacing w:val="181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Ca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40</w:t>
      </w:r>
    </w:p>
    <w:p w14:paraId="2B9401DF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5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5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6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分。在每小题给出的四个选项中，只有一</w:t>
      </w:r>
    </w:p>
    <w:p w14:paraId="590EE500">
      <w:pPr>
        <w:spacing w:before="205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项符合题目要求。</w:t>
      </w:r>
    </w:p>
    <w:p w14:paraId="18E4DB34">
      <w:pPr>
        <w:spacing w:before="14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红米饭南瓜汤是井冈山斗争时期红军的主食，其中所含的物质不属于高分子的是</w:t>
      </w:r>
    </w:p>
    <w:p w14:paraId="5996A66D">
      <w:pPr>
        <w:spacing w:before="30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纤维素</w:t>
      </w:r>
      <w:r>
        <w:rPr>
          <w:rFonts w:ascii="Times New Roman"/>
          <w:color w:val="000000"/>
          <w:spacing w:val="14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核糖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核酸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蛋白质</w:t>
      </w:r>
    </w:p>
    <w:p w14:paraId="02FBC1D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下列粒子的</w:t>
      </w:r>
      <w:r>
        <w:rPr>
          <w:rFonts w:ascii="Times New Roman"/>
          <w:color w:val="000000"/>
          <w:spacing w:val="0"/>
          <w:sz w:val="21"/>
        </w:rPr>
        <w:t xml:space="preserve"> VSEPR </w:t>
      </w:r>
      <w:r>
        <w:rPr>
          <w:rFonts w:ascii="宋体" w:hAnsi="宋体" w:cs="宋体"/>
          <w:color w:val="000000"/>
          <w:spacing w:val="0"/>
          <w:sz w:val="21"/>
        </w:rPr>
        <w:t>模型为平面三角形且其空间结构为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形的是</w:t>
      </w:r>
    </w:p>
    <w:p w14:paraId="18CBA67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537D0C9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浓硫酸与铜反应的实验装置如图，下列说法正确的是</w:t>
      </w:r>
    </w:p>
    <w:p w14:paraId="0E65445A">
      <w:pPr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应加装陶土网，使试管受热均匀</w:t>
      </w:r>
    </w:p>
    <w:p w14:paraId="2D3981B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应改用稀硫酸，使实验更加安全</w:t>
      </w:r>
    </w:p>
    <w:p w14:paraId="67AB513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品红溶液不褪色，说明装置漏气</w:t>
      </w:r>
    </w:p>
    <w:p w14:paraId="7E94940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向外拉铜丝离开液面，终止反应</w:t>
      </w:r>
    </w:p>
    <w:p w14:paraId="3D5C08B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我国科学家在硅衬底上成功合成</w:t>
      </w:r>
      <w:r>
        <w:rPr>
          <w:rFonts w:ascii="Times New Roman"/>
          <w:color w:val="000000"/>
          <w:spacing w:val="10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材料，实现了黄光</w:t>
      </w:r>
      <w:r>
        <w:rPr>
          <w:rFonts w:ascii="Times New Roman"/>
          <w:color w:val="000000"/>
          <w:spacing w:val="0"/>
          <w:sz w:val="21"/>
        </w:rPr>
        <w:t xml:space="preserve"> LED </w:t>
      </w:r>
      <w:r>
        <w:rPr>
          <w:rFonts w:ascii="宋体" w:hAnsi="宋体" w:cs="宋体"/>
          <w:color w:val="000000"/>
          <w:spacing w:val="0"/>
          <w:sz w:val="21"/>
        </w:rPr>
        <w:t>的重大突破，点亮了“中国之光”。</w:t>
      </w:r>
    </w:p>
    <w:p w14:paraId="5092CAF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</w:t>
      </w:r>
      <w:r>
        <w:rPr>
          <w:rFonts w:ascii="Times New Roman"/>
          <w:color w:val="000000"/>
          <w:spacing w:val="0"/>
          <w:sz w:val="21"/>
        </w:rPr>
        <w:t xml:space="preserve"> Ga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In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Al </w:t>
      </w:r>
      <w:r>
        <w:rPr>
          <w:rFonts w:ascii="宋体" w:hAnsi="宋体" w:cs="宋体"/>
          <w:color w:val="000000"/>
          <w:spacing w:val="0"/>
          <w:sz w:val="21"/>
        </w:rPr>
        <w:t>同族，下列说法正确的是</w:t>
      </w:r>
    </w:p>
    <w:p w14:paraId="3AC57F4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Ga </w:t>
      </w:r>
      <w:r>
        <w:rPr>
          <w:rFonts w:ascii="宋体" w:hAnsi="宋体" w:cs="宋体"/>
          <w:color w:val="000000"/>
          <w:spacing w:val="0"/>
          <w:sz w:val="21"/>
        </w:rPr>
        <w:t>的价层电子排布是</w:t>
      </w:r>
    </w:p>
    <w:p w14:paraId="68FECD0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11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Ga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In </w:t>
      </w:r>
      <w:r>
        <w:rPr>
          <w:rFonts w:ascii="宋体" w:hAnsi="宋体" w:cs="宋体"/>
          <w:color w:val="000000"/>
          <w:spacing w:val="0"/>
          <w:sz w:val="21"/>
        </w:rPr>
        <w:t>化合价不同</w:t>
      </w:r>
    </w:p>
    <w:p w14:paraId="108DECB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单晶硅是半导体材料</w:t>
      </w:r>
    </w:p>
    <w:p w14:paraId="391CD3EE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11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是金属材料</w:t>
      </w:r>
    </w:p>
    <w:p w14:paraId="6ECDE187">
      <w:pPr>
        <w:spacing w:before="22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降糖药格列本脲的分子结构如图，其中不含有的官能团是</w:t>
      </w:r>
    </w:p>
    <w:p w14:paraId="586663D7">
      <w:pPr>
        <w:spacing w:before="34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063D27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6011B1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FC48BC9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C93AB9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5E5289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8" o:spid="_x0000_s104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9" o:spid="_x0000_s1045" o:spt="75" type="#_x0000_t75" style="position:absolute;left:0pt;margin-left:121.3pt;margin-top:461.25pt;height:20.75pt;width:227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20" o:spid="_x0000_s104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1" o:spid="_x0000_s1047" o:spt="75" type="#_x0000_t75" style="position:absolute;left:0pt;margin-left:53pt;margin-top:65.8pt;height:110.05pt;width:270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pict>
          <v:shape id="_x000022" o:spid="_x0000_s1048" o:spt="75" type="#_x0000_t75" style="position:absolute;left:0pt;margin-left:384.6pt;margin-top:204.6pt;height:20pt;width:4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23" o:spid="_x0000_s1049" o:spt="75" type="#_x0000_t75" style="position:absolute;left:0pt;margin-left:434.2pt;margin-top:204.6pt;height:20pt;width:3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24" o:spid="_x0000_s1050" o:spt="75" type="#_x0000_t75" style="position:absolute;left:0pt;margin-left:320.1pt;margin-top:244.35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25" o:spid="_x0000_s1051" o:spt="75" type="#_x0000_t75" style="position:absolute;left:0pt;margin-left:330.6pt;margin-top:244.35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26" o:spid="_x0000_s1052" o:spt="75" type="#_x0000_t75" style="position:absolute;left:0pt;margin-left:53pt;margin-top:256.35pt;height:103.3pt;width:263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27" o:spid="_x0000_s1053" o:spt="75" type="#_x0000_t75" style="position:absolute;left:0pt;margin-left:121.3pt;margin-top:368.2pt;height:20.75pt;width:131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28" o:spid="_x0000_s1054" o:spt="75" type="#_x0000_t75" style="position:absolute;left:0pt;margin-left:120.55pt;margin-top:399pt;height:20.75pt;width:181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29" o:spid="_x0000_s1055" o:spt="75" type="#_x0000_t75" style="position:absolute;left:0pt;margin-left:120.55pt;margin-top:429.75pt;height:22.25pt;width:137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pict>
          <v:shape id="_x000030" o:spid="_x0000_s1056" o:spt="75" type="#_x0000_t75" style="position:absolute;left:0pt;margin-left:53pt;margin-top:516pt;height:131.1pt;width:137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pict>
          <v:shape id="_x000031" o:spid="_x0000_s1057" o:spt="75" type="#_x0000_t75" style="position:absolute;left:0pt;margin-left:121.3pt;margin-top:656.4pt;height:20.75pt;width:110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  <w:r>
        <w:pict>
          <v:shape id="_x000032" o:spid="_x0000_s1058" o:spt="75" type="#_x0000_t75" style="position:absolute;left:0pt;margin-left:99.55pt;margin-top:688.65pt;height:20pt;width:5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  <w:r>
        <w:pict>
          <v:shape id="_x000033" o:spid="_x0000_s1059" o:spt="75" type="#_x0000_t75" style="position:absolute;left:0pt;margin-left:182.1pt;margin-top:688.65pt;height:20pt;width:5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pict>
          <v:shape id="_x000034" o:spid="_x0000_s1060" o:spt="75" type="#_x0000_t75" style="position:absolute;left:0pt;margin-left:311.85pt;margin-top:689.4pt;height:17.7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酯基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醚键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碳卤键</w:t>
      </w:r>
      <w:r>
        <w:rPr>
          <w:rFonts w:ascii="Times New Roman"/>
          <w:color w:val="000000"/>
          <w:spacing w:val="14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酰胺基</w:t>
      </w:r>
    </w:p>
    <w:p w14:paraId="34F4B5C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高纯碳酸钙在电子工业领域有广泛应用。使用优质大理石（含有少量</w:t>
      </w:r>
      <w:r>
        <w:rPr>
          <w:rFonts w:ascii="Times New Roman"/>
          <w:color w:val="000000"/>
          <w:spacing w:val="73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597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杂质）制备高纯</w:t>
      </w:r>
    </w:p>
    <w:p w14:paraId="410490AD">
      <w:pPr>
        <w:spacing w:before="239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碳酸钙的工艺流程如图。体系中有关离子反应方程式书写错误的是</w:t>
      </w:r>
    </w:p>
    <w:p w14:paraId="06D0B916">
      <w:pPr>
        <w:spacing w:before="257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浸出过程：</w:t>
      </w:r>
    </w:p>
    <w:p w14:paraId="5320B5CB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浸出过程：</w:t>
      </w:r>
    </w:p>
    <w:p w14:paraId="6285721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净化过程：</w:t>
      </w:r>
    </w:p>
    <w:p w14:paraId="12EAE16B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碳化过程：</w:t>
      </w:r>
    </w:p>
    <w:p w14:paraId="3A5221BA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背靠背式电解池可用于电化学合成氨，如图。下列说法正确的是</w:t>
      </w:r>
    </w:p>
    <w:p w14:paraId="3E8A7AA4">
      <w:pPr>
        <w:spacing w:before="311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阳极反应：</w:t>
      </w:r>
      <w:r>
        <w:rPr>
          <w:rFonts w:ascii="Times New Roman"/>
          <w:color w:val="000000"/>
          <w:spacing w:val="346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外电路电子由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流向</w:t>
      </w:r>
      <w:r>
        <w:rPr>
          <w:rFonts w:ascii="Times New Roman"/>
          <w:color w:val="000000"/>
          <w:spacing w:val="0"/>
          <w:sz w:val="21"/>
        </w:rPr>
        <w:t xml:space="preserve"> a</w:t>
      </w:r>
    </w:p>
    <w:p w14:paraId="3BC2631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每生成</w:t>
      </w:r>
      <w:r>
        <w:rPr>
          <w:rFonts w:ascii="Times New Roman"/>
          <w:color w:val="000000"/>
          <w:spacing w:val="9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，消耗</w:t>
      </w:r>
      <w:r>
        <w:rPr>
          <w:rFonts w:ascii="Times New Roman"/>
          <w:color w:val="000000"/>
          <w:spacing w:val="22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经交换膜从右向左移动</w:t>
      </w:r>
    </w:p>
    <w:p w14:paraId="5825459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由下列实验事实推理得出结论，正确的是</w:t>
      </w:r>
    </w:p>
    <w:p w14:paraId="13CA50AC">
      <w:pPr>
        <w:spacing w:before="73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4BA90F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C105FC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3A39383">
      <w:pPr>
        <w:sectPr>
          <w:pgSz w:w="11900" w:h="16840"/>
          <w:pgMar w:top="3626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FAD051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9D843BA">
      <w:pPr>
        <w:spacing w:before="0" w:after="0" w:line="220" w:lineRule="exact"/>
        <w:ind w:left="422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5" o:spid="_x0000_s1061" o:spt="75" type="#_x0000_t75" style="position:absolute;left:0pt;margin-left:138.55pt;margin-top:465pt;height:20pt;width:78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pict>
          <v:shape id="_x000036" o:spid="_x0000_s106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7" o:spid="_x0000_s1063" o:spt="75" type="#_x0000_t75" style="position:absolute;left:0pt;margin-left:47pt;margin-top:65.05pt;height:168.6pt;width:408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pict>
          <v:shape id="_x000038" o:spid="_x0000_s1064" o:spt="75" type="#_x0000_t75" style="position:absolute;left:0pt;margin-left:140.8pt;margin-top:285.6pt;height:20pt;width:128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2" o:title=""/>
            <o:lock v:ext="edit" aspectratio="t"/>
          </v:shape>
        </w:pict>
      </w:r>
      <w:r>
        <w:pict>
          <v:shape id="_x000039" o:spid="_x0000_s1065" o:spt="75" type="#_x0000_t75" style="position:absolute;left:0pt;margin-left:298.35pt;margin-top:285.6pt;height:20pt;width:88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3" o:title=""/>
            <o:lock v:ext="edit" aspectratio="t"/>
          </v:shape>
        </w:pict>
      </w:r>
      <w:r>
        <w:pict>
          <v:shape id="_x000040" o:spid="_x0000_s1066" o:spt="75" type="#_x0000_t75" style="position:absolute;left:0pt;margin-left:84.55pt;margin-top:339.7pt;height:20.75pt;width:185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" o:title=""/>
            <o:lock v:ext="edit" aspectratio="t"/>
          </v:shape>
        </w:pict>
      </w:r>
      <w:r>
        <w:pict>
          <v:shape id="_x000041" o:spid="_x0000_s1067" o:spt="75" type="#_x0000_t75" style="position:absolute;left:0pt;margin-left:278.85pt;margin-top:338.95pt;height:22.25pt;width:104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5" o:title=""/>
            <o:lock v:ext="edit" aspectratio="t"/>
          </v:shape>
        </w:pict>
      </w:r>
      <w:r>
        <w:pict>
          <v:shape id="_x000042" o:spid="_x0000_s1068" o:spt="75" type="#_x0000_t75" style="position:absolute;left:0pt;margin-left:99.55pt;margin-top:426.75pt;height:17.75pt;width:5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43" o:spid="_x0000_s1069" o:spt="75" type="#_x0000_t75" style="position:absolute;left:0pt;margin-left:206.1pt;margin-top:414pt;height:43.25pt;width:86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7" o:title=""/>
            <o:lock v:ext="edit" aspectratio="t"/>
          </v:shape>
        </w:pict>
      </w:r>
      <w:r>
        <w:pict>
          <v:shape id="_x000044" o:spid="_x0000_s1070" o:spt="75" type="#_x0000_t75" style="position:absolute;left:0pt;margin-left:145.3pt;margin-top:495pt;height:22.25pt;width:64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pict>
          <v:shape id="_x000045" o:spid="_x0000_s1071" o:spt="75" type="#_x0000_t75" style="position:absolute;left:0pt;margin-left:53pt;margin-top:546.05pt;height:139.35pt;width:146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实验事实</w:t>
      </w:r>
      <w:r>
        <w:rPr>
          <w:rFonts w:ascii="Times New Roman"/>
          <w:color w:val="000000"/>
          <w:spacing w:val="484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结论</w:t>
      </w:r>
    </w:p>
    <w:p w14:paraId="7F7D8D88">
      <w:pPr>
        <w:spacing w:before="473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葡萄汁与新制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</w:t>
      </w:r>
      <w:r>
        <w:rPr>
          <w:rFonts w:ascii="新宋体" w:hAnsi="新宋体" w:cs="新宋体"/>
          <w:color w:val="000000"/>
          <w:spacing w:val="0"/>
          <w:sz w:val="21"/>
        </w:rPr>
        <w:t>，</w:t>
      </w:r>
      <w:r>
        <w:rPr>
          <w:rFonts w:ascii="宋体" w:hAnsi="宋体" w:cs="宋体"/>
          <w:color w:val="000000"/>
          <w:spacing w:val="0"/>
          <w:sz w:val="21"/>
        </w:rPr>
        <w:t>生成砖红色沉淀</w:t>
      </w:r>
      <w:r>
        <w:rPr>
          <w:rFonts w:ascii="Times New Roman"/>
          <w:color w:val="000000"/>
          <w:spacing w:val="135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葡萄中含有葡萄糖</w:t>
      </w:r>
    </w:p>
    <w:p w14:paraId="09C4D405">
      <w:pPr>
        <w:spacing w:before="462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2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香蕉泥中滴加碘酒</w:t>
      </w:r>
      <w:r>
        <w:rPr>
          <w:rFonts w:ascii="新宋体" w:hAnsi="新宋体" w:cs="新宋体"/>
          <w:color w:val="000000"/>
          <w:spacing w:val="0"/>
          <w:sz w:val="21"/>
        </w:rPr>
        <w:t>，</w:t>
      </w:r>
      <w:r>
        <w:rPr>
          <w:rFonts w:ascii="宋体" w:hAnsi="宋体" w:cs="宋体"/>
          <w:color w:val="000000"/>
          <w:spacing w:val="0"/>
          <w:sz w:val="21"/>
        </w:rPr>
        <w:t>变为蓝色</w:t>
      </w:r>
      <w:r>
        <w:rPr>
          <w:rFonts w:ascii="Times New Roman"/>
          <w:color w:val="000000"/>
          <w:spacing w:val="29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香蕉中含有淀粉</w:t>
      </w:r>
    </w:p>
    <w:p w14:paraId="6EB093B6">
      <w:pPr>
        <w:spacing w:before="384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23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收集熟苹果释放的气体</w:t>
      </w:r>
      <w:r>
        <w:rPr>
          <w:rFonts w:ascii="新宋体" w:hAnsi="新宋体" w:cs="新宋体"/>
          <w:color w:val="000000"/>
          <w:spacing w:val="0"/>
          <w:sz w:val="21"/>
        </w:rPr>
        <w:t>，</w:t>
      </w:r>
      <w:r>
        <w:rPr>
          <w:rFonts w:ascii="宋体" w:hAnsi="宋体" w:cs="宋体"/>
          <w:color w:val="000000"/>
          <w:spacing w:val="0"/>
          <w:sz w:val="21"/>
        </w:rPr>
        <w:t>通入酸性高锰酸钾溶液</w:t>
      </w:r>
      <w:r>
        <w:rPr>
          <w:rFonts w:ascii="新宋体" w:hAnsi="新宋体" w:cs="新宋体"/>
          <w:color w:val="000000"/>
          <w:spacing w:val="0"/>
          <w:sz w:val="21"/>
        </w:rPr>
        <w:t>，</w:t>
      </w:r>
      <w:r>
        <w:rPr>
          <w:rFonts w:ascii="宋体" w:hAnsi="宋体" w:cs="宋体"/>
          <w:color w:val="000000"/>
          <w:spacing w:val="0"/>
          <w:sz w:val="21"/>
        </w:rPr>
        <w:t>溶液褪色</w:t>
      </w:r>
      <w:r>
        <w:rPr>
          <w:rFonts w:ascii="Times New Roman"/>
          <w:color w:val="000000"/>
          <w:spacing w:val="22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熟苹果会释放乙烯</w:t>
      </w:r>
    </w:p>
    <w:p w14:paraId="0783CCE8">
      <w:pPr>
        <w:spacing w:before="384" w:after="0" w:line="24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柠檬汁中加入碳酸钠</w:t>
      </w:r>
      <w:r>
        <w:rPr>
          <w:rFonts w:ascii="新宋体" w:hAnsi="新宋体" w:cs="新宋体"/>
          <w:color w:val="000000"/>
          <w:spacing w:val="0"/>
          <w:sz w:val="21"/>
        </w:rPr>
        <w:t>，</w:t>
      </w:r>
      <w:r>
        <w:rPr>
          <w:rFonts w:ascii="宋体" w:hAnsi="宋体" w:cs="宋体"/>
          <w:color w:val="000000"/>
          <w:spacing w:val="0"/>
          <w:sz w:val="21"/>
        </w:rPr>
        <w:t>产生大量气泡</w:t>
      </w:r>
      <w:r>
        <w:rPr>
          <w:rFonts w:ascii="Times New Roman"/>
          <w:color w:val="000000"/>
          <w:spacing w:val="232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柠檬中含有柠檬酸</w:t>
      </w:r>
    </w:p>
    <w:p w14:paraId="7F3664A9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A</w:t>
      </w:r>
      <w:r>
        <w:rPr>
          <w:rFonts w:ascii="Times New Roman"/>
          <w:color w:val="000000"/>
          <w:spacing w:val="19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B</w:t>
      </w:r>
      <w:r>
        <w:rPr>
          <w:rFonts w:ascii="Times New Roman"/>
          <w:color w:val="000000"/>
          <w:spacing w:val="200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C</w:t>
      </w:r>
      <w:r>
        <w:rPr>
          <w:rFonts w:ascii="Times New Roman"/>
          <w:color w:val="000000"/>
          <w:spacing w:val="19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D</w:t>
      </w:r>
    </w:p>
    <w:p w14:paraId="639738D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HCl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溶液滴定</w:t>
      </w:r>
      <w:r>
        <w:rPr>
          <w:rFonts w:ascii="Times New Roman"/>
          <w:color w:val="000000"/>
          <w:spacing w:val="2484"/>
          <w:sz w:val="21"/>
        </w:rPr>
        <w:t xml:space="preserve"> </w:t>
      </w:r>
      <w:r>
        <w:rPr>
          <w:rFonts w:ascii="宋体" w:hAnsi="宋体" w:cs="宋体"/>
          <w:color w:val="000000"/>
          <w:spacing w:val="-7"/>
          <w:sz w:val="21"/>
        </w:rPr>
        <w:t>硼砂（</w:t>
      </w:r>
      <w:r>
        <w:rPr>
          <w:rFonts w:ascii="Times New Roman"/>
          <w:color w:val="000000"/>
          <w:spacing w:val="1680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）标准溶液，滴定至终点时，消耗</w:t>
      </w:r>
    </w:p>
    <w:p w14:paraId="002AB7B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HCl </w:t>
      </w:r>
      <w:r>
        <w:rPr>
          <w:rFonts w:ascii="宋体" w:hAnsi="宋体" w:cs="宋体"/>
          <w:color w:val="000000"/>
          <w:spacing w:val="0"/>
          <w:sz w:val="21"/>
        </w:rPr>
        <w:t>溶液</w:t>
      </w:r>
      <w:r>
        <w:rPr>
          <w:rFonts w:ascii="Times New Roman"/>
          <w:color w:val="000000"/>
          <w:spacing w:val="0"/>
          <w:sz w:val="21"/>
        </w:rPr>
        <w:t xml:space="preserve"> 10.00 mL</w:t>
      </w:r>
      <w:r>
        <w:rPr>
          <w:rFonts w:ascii="宋体" w:hAnsi="宋体" w:cs="宋体"/>
          <w:color w:val="000000"/>
          <w:spacing w:val="0"/>
          <w:sz w:val="21"/>
        </w:rPr>
        <w:t>，下列说法正确的是</w:t>
      </w:r>
    </w:p>
    <w:p w14:paraId="76FF8F46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</w:t>
      </w:r>
      <w:r>
        <w:rPr>
          <w:rFonts w:ascii="Times New Roman"/>
          <w:color w:val="000000"/>
          <w:spacing w:val="36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63BCFDEA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滴定开始前，锥形瓶需用硼砂标准溶液润洗</w:t>
      </w:r>
    </w:p>
    <w:p w14:paraId="368BE40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以酚酞为指示剂，滴定终点时溶液变为红色</w:t>
      </w:r>
    </w:p>
    <w:p w14:paraId="3AB59551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滴定至</w:t>
      </w:r>
      <w:r>
        <w:rPr>
          <w:rFonts w:ascii="Times New Roman"/>
          <w:color w:val="000000"/>
          <w:spacing w:val="10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时，体系中</w:t>
      </w:r>
    </w:p>
    <w:p w14:paraId="2D36F7DF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D. HCl </w:t>
      </w:r>
      <w:r>
        <w:rPr>
          <w:rFonts w:ascii="宋体" w:hAnsi="宋体" w:cs="宋体"/>
          <w:color w:val="000000"/>
          <w:spacing w:val="0"/>
          <w:sz w:val="21"/>
        </w:rPr>
        <w:t>溶液浓度为</w:t>
      </w:r>
    </w:p>
    <w:p w14:paraId="7687E88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高能离子化合物</w:t>
      </w:r>
      <w:r>
        <w:rPr>
          <w:rFonts w:ascii="Times New Roman"/>
          <w:color w:val="000000"/>
          <w:spacing w:val="11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由同一短周期元素组成。四种原子基态时未成对电子总数为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，内层电子</w:t>
      </w:r>
    </w:p>
    <w:p w14:paraId="342DDB9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总数为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，阴离子结构如图。下列元素中电负性最小的是</w:t>
      </w:r>
    </w:p>
    <w:p w14:paraId="0FAB00F6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M</w:t>
      </w:r>
      <w:r>
        <w:rPr>
          <w:rFonts w:ascii="Times New Roman"/>
          <w:color w:val="000000"/>
          <w:spacing w:val="194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X</w:t>
      </w:r>
      <w:r>
        <w:rPr>
          <w:rFonts w:ascii="Times New Roman"/>
          <w:color w:val="000000"/>
          <w:spacing w:val="198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Y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Z</w:t>
      </w:r>
    </w:p>
    <w:p w14:paraId="1333913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为探究银白色金属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-7"/>
          <w:sz w:val="21"/>
        </w:rPr>
        <w:t>的组成，进行下列实验（如图）。</w:t>
      </w:r>
      <w:r>
        <w:rPr>
          <w:rFonts w:ascii="Times New Roman"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中所含元素至少有</w:t>
      </w:r>
    </w:p>
    <w:p w14:paraId="21C0ACC3">
      <w:pPr>
        <w:spacing w:before="82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4F4EF6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3EDDF3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1B912C2">
      <w:pPr>
        <w:sectPr>
          <w:pgSz w:w="11900" w:h="16840"/>
          <w:pgMar w:top="154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BAB402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557A55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46" o:spid="_x0000_s1072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47" o:spid="_x0000_s1073" o:spt="75" type="#_x0000_t75" style="position:absolute;left:0pt;margin-left:53pt;margin-top:450pt;height:122.05pt;width:258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pict>
          <v:shape id="_x000048" o:spid="_x0000_s107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49" o:spid="_x0000_s1075" o:spt="75" type="#_x0000_t75" style="position:absolute;left:0pt;margin-left:53pt;margin-top:69.55pt;height:101.8pt;width:238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pict>
          <v:shape id="_x000050" o:spid="_x0000_s1076" o:spt="75" type="#_x0000_t75" style="position:absolute;left:0pt;margin-left:134.8pt;margin-top:200.85pt;height:20pt;width:61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pict>
          <v:shape id="_x000051" o:spid="_x0000_s1077" o:spt="75" type="#_x0000_t75" style="position:absolute;left:0pt;margin-left:309.6pt;margin-top:202.35pt;height:16.25pt;width:4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pict>
          <v:shape id="_x000052" o:spid="_x0000_s1078" o:spt="75" type="#_x0000_t75" style="position:absolute;left:0pt;margin-left:365.85pt;margin-top:201.6pt;height:17.75pt;width:80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4" o:title=""/>
            <o:lock v:ext="edit" aspectratio="t"/>
          </v:shape>
        </w:pict>
      </w:r>
      <w:r>
        <w:pict>
          <v:shape id="_x000053" o:spid="_x0000_s1079" o:spt="75" type="#_x0000_t75" style="position:absolute;left:0pt;margin-left:500.95pt;margin-top:216.6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54" o:spid="_x0000_s1080" o:spt="75" type="#_x0000_t75" style="position:absolute;left:0pt;margin-left:511.45pt;margin-top:216.6pt;height:3.5pt;width:3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pict>
          <v:shape id="_x000055" o:spid="_x0000_s1081" o:spt="75" type="#_x0000_t75" style="position:absolute;left:0pt;margin-left:53pt;margin-top:230.1pt;height:92.8pt;width:124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pict>
          <v:shape id="_x000056" o:spid="_x0000_s1082" o:spt="75" type="#_x0000_t75" style="position:absolute;left:0pt;margin-left:143.8pt;margin-top:329.2pt;height:35.75pt;width:4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7" o:title=""/>
            <o:lock v:ext="edit" aspectratio="t"/>
          </v:shape>
        </w:pict>
      </w:r>
      <w:r>
        <w:pict>
          <v:shape id="_x000057" o:spid="_x0000_s1083" o:spt="75" type="#_x0000_t75" style="position:absolute;left:0pt;margin-left:311.85pt;margin-top:338.95pt;height:16.25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8" o:title=""/>
            <o:lock v:ext="edit" aspectratio="t"/>
          </v:shape>
        </w:pict>
      </w:r>
      <w:r>
        <w:pict>
          <v:shape id="_x000058" o:spid="_x0000_s1084" o:spt="75" type="#_x0000_t75" style="position:absolute;left:0pt;margin-left:353.1pt;margin-top:338.95pt;height:16.2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9" o:title=""/>
            <o:lock v:ext="edit" aspectratio="t"/>
          </v:shape>
        </w:pict>
      </w:r>
      <w:r>
        <w:pict>
          <v:shape id="_x000059" o:spid="_x0000_s1085" o:spt="75" type="#_x0000_t75" style="position:absolute;left:0pt;margin-left:390.6pt;margin-top:338.95pt;height:16.2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0" o:title=""/>
            <o:lock v:ext="edit" aspectratio="t"/>
          </v:shape>
        </w:pict>
      </w:r>
      <w:r>
        <w:pict>
          <v:shape id="_x000060" o:spid="_x0000_s1086" o:spt="75" type="#_x0000_t75" style="position:absolute;left:0pt;margin-left:71.8pt;margin-top:399pt;height:20.75pt;width:4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1" o:title=""/>
            <o:lock v:ext="edit" aspectratio="t"/>
          </v:shape>
        </w:pict>
      </w:r>
      <w:r>
        <w:pict>
          <v:shape id="_x000061" o:spid="_x0000_s1087" o:spt="75" type="#_x0000_t75" style="position:absolute;left:0pt;margin-left:341.1pt;margin-top:400.5pt;height:17.75pt;width:2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2" o:title=""/>
            <o:lock v:ext="edit" aspectratio="t"/>
          </v:shape>
        </w:pict>
      </w:r>
      <w:r>
        <w:pict>
          <v:shape id="_x000062" o:spid="_x0000_s1088" o:spt="75" type="#_x0000_t75" style="position:absolute;left:0pt;margin-left:368.85pt;margin-top:400.5pt;height:17.75pt;width:2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3" o:title=""/>
            <o:lock v:ext="edit" aspectratio="t"/>
          </v:shape>
        </w:pict>
      </w:r>
      <w:r>
        <w:pict>
          <v:shape id="_x000063" o:spid="_x0000_s1089" o:spt="75" type="#_x0000_t75" style="position:absolute;left:0pt;margin-left:404.1pt;margin-top:400.5pt;height:17.75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4" o:title=""/>
            <o:lock v:ext="edit" aspectratio="t"/>
          </v:shape>
        </w:pict>
      </w:r>
      <w:r>
        <w:pict>
          <v:shape id="_x000064" o:spid="_x0000_s1090" o:spt="75" type="#_x0000_t75" style="position:absolute;left:0pt;margin-left:433.45pt;margin-top:400.5pt;height:17.75pt;width:2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pict>
          <v:shape id="_x000065" o:spid="_x0000_s1091" o:spt="75" type="#_x0000_t75" style="position:absolute;left:0pt;margin-left:248.85pt;margin-top:579.05pt;height:20pt;width: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pict>
          <v:shape id="_x000066" o:spid="_x0000_s1092" o:spt="75" type="#_x0000_t75" style="position:absolute;left:0pt;margin-left:110.8pt;margin-top:656.4pt;height:20.75pt;width:73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7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A. 1 </w:t>
      </w:r>
      <w:r>
        <w:rPr>
          <w:rFonts w:ascii="宋体" w:hAnsi="宋体" w:cs="宋体"/>
          <w:color w:val="000000"/>
          <w:spacing w:val="0"/>
          <w:sz w:val="21"/>
        </w:rPr>
        <w:t>种</w:t>
      </w:r>
      <w:r>
        <w:rPr>
          <w:rFonts w:ascii="Times New Roman"/>
          <w:color w:val="000000"/>
          <w:spacing w:val="176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2 </w:t>
      </w:r>
      <w:r>
        <w:rPr>
          <w:rFonts w:ascii="宋体" w:hAnsi="宋体" w:cs="宋体"/>
          <w:color w:val="000000"/>
          <w:spacing w:val="0"/>
          <w:sz w:val="21"/>
        </w:rPr>
        <w:t>种</w:t>
      </w:r>
      <w:r>
        <w:rPr>
          <w:rFonts w:ascii="Times New Roman"/>
          <w:color w:val="000000"/>
          <w:spacing w:val="177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3 </w:t>
      </w:r>
      <w:r>
        <w:rPr>
          <w:rFonts w:ascii="宋体" w:hAnsi="宋体" w:cs="宋体"/>
          <w:color w:val="000000"/>
          <w:spacing w:val="0"/>
          <w:sz w:val="21"/>
        </w:rPr>
        <w:t>种</w:t>
      </w:r>
      <w:r>
        <w:rPr>
          <w:rFonts w:ascii="Times New Roman"/>
          <w:color w:val="000000"/>
          <w:spacing w:val="17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4 </w:t>
      </w:r>
      <w:r>
        <w:rPr>
          <w:rFonts w:ascii="宋体" w:hAnsi="宋体" w:cs="宋体"/>
          <w:color w:val="000000"/>
          <w:spacing w:val="0"/>
          <w:sz w:val="21"/>
        </w:rPr>
        <w:t>种</w:t>
      </w:r>
    </w:p>
    <w:p w14:paraId="5277EB38">
      <w:pPr>
        <w:spacing w:before="22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多相系超导体</w:t>
      </w:r>
      <w:r>
        <w:rPr>
          <w:rFonts w:ascii="Times New Roman"/>
          <w:color w:val="000000"/>
          <w:spacing w:val="11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晶体结构如图，晶胞参数</w:t>
      </w:r>
      <w:r>
        <w:rPr>
          <w:rFonts w:ascii="Times New Roman"/>
          <w:color w:val="000000"/>
          <w:spacing w:val="8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5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，下列说法错误的是</w:t>
      </w:r>
    </w:p>
    <w:p w14:paraId="41ADEB68">
      <w:pPr>
        <w:spacing w:before="248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1 </w:t>
      </w:r>
      <w:r>
        <w:rPr>
          <w:rFonts w:ascii="宋体" w:hAnsi="宋体" w:cs="宋体"/>
          <w:color w:val="000000"/>
          <w:spacing w:val="0"/>
          <w:sz w:val="21"/>
        </w:rPr>
        <w:t>号</w:t>
      </w:r>
      <w:r>
        <w:rPr>
          <w:rFonts w:ascii="Times New Roman"/>
          <w:color w:val="000000"/>
          <w:spacing w:val="0"/>
          <w:sz w:val="21"/>
        </w:rPr>
        <w:t xml:space="preserve"> Cu </w:t>
      </w:r>
      <w:r>
        <w:rPr>
          <w:rFonts w:ascii="宋体" w:hAnsi="宋体" w:cs="宋体"/>
          <w:color w:val="000000"/>
          <w:spacing w:val="0"/>
          <w:sz w:val="21"/>
        </w:rPr>
        <w:t>的坐标为</w:t>
      </w:r>
      <w:r>
        <w:rPr>
          <w:rFonts w:ascii="Times New Roman"/>
          <w:color w:val="000000"/>
          <w:spacing w:val="30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22898898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Y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Ba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O </w:t>
      </w:r>
      <w:r>
        <w:rPr>
          <w:rFonts w:ascii="宋体" w:hAnsi="宋体" w:cs="宋体"/>
          <w:color w:val="000000"/>
          <w:spacing w:val="0"/>
          <w:sz w:val="21"/>
        </w:rPr>
        <w:t>配位数不相等</w:t>
      </w:r>
      <w:r>
        <w:rPr>
          <w:rFonts w:ascii="Times New Roman"/>
          <w:color w:val="000000"/>
          <w:spacing w:val="209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O </w:t>
      </w:r>
      <w:r>
        <w:rPr>
          <w:rFonts w:ascii="宋体" w:hAnsi="宋体" w:cs="宋体"/>
          <w:color w:val="000000"/>
          <w:spacing w:val="0"/>
          <w:sz w:val="21"/>
        </w:rPr>
        <w:t>原子占据金属原子的八面体空隙</w:t>
      </w:r>
    </w:p>
    <w:p w14:paraId="13C40DA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8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／</w:t>
      </w:r>
      <w:r>
        <w:rPr>
          <w:rFonts w:ascii="Times New Roman"/>
          <w:color w:val="000000"/>
          <w:spacing w:val="0"/>
          <w:sz w:val="21"/>
        </w:rPr>
        <w:t>ZSM-5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是一种降解含氰废气的催化剂，其原理是</w:t>
      </w:r>
      <w:r>
        <w:rPr>
          <w:rFonts w:ascii="Times New Roman"/>
          <w:color w:val="000000"/>
          <w:spacing w:val="4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4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color w:val="000000"/>
          <w:spacing w:val="4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氧化还原循环协同</w:t>
      </w:r>
    </w:p>
    <w:p w14:paraId="4F4F8A8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作用，反应路径如图（</w:t>
      </w:r>
      <w:r>
        <w:rPr>
          <w:rFonts w:ascii="Times New Roman"/>
          <w:color w:val="000000"/>
          <w:spacing w:val="0"/>
          <w:sz w:val="21"/>
        </w:rPr>
        <w:t xml:space="preserve">TS </w:t>
      </w:r>
      <w:r>
        <w:rPr>
          <w:rFonts w:ascii="宋体" w:hAnsi="宋体" w:cs="宋体"/>
          <w:color w:val="000000"/>
          <w:spacing w:val="0"/>
          <w:sz w:val="21"/>
        </w:rPr>
        <w:t>代表过渡态，</w:t>
      </w:r>
      <w:r>
        <w:rPr>
          <w:rFonts w:ascii="Times New Roman"/>
          <w:color w:val="000000"/>
          <w:spacing w:val="0"/>
          <w:sz w:val="21"/>
        </w:rPr>
        <w:t>*</w:t>
      </w:r>
      <w:r>
        <w:rPr>
          <w:rFonts w:ascii="宋体" w:hAnsi="宋体" w:cs="宋体"/>
          <w:color w:val="000000"/>
          <w:spacing w:val="-7"/>
          <w:sz w:val="21"/>
        </w:rPr>
        <w:t>代表吸附态）。下列说法正确的是</w:t>
      </w:r>
    </w:p>
    <w:p w14:paraId="25A836A7">
      <w:pPr>
        <w:spacing w:before="280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通入</w:t>
      </w:r>
      <w:r>
        <w:rPr>
          <w:rFonts w:ascii="Times New Roman"/>
          <w:color w:val="000000"/>
          <w:spacing w:val="0"/>
          <w:sz w:val="21"/>
        </w:rPr>
        <w:t xml:space="preserve"> HCl </w:t>
      </w:r>
      <w:r>
        <w:rPr>
          <w:rFonts w:ascii="宋体" w:hAnsi="宋体" w:cs="宋体"/>
          <w:color w:val="000000"/>
          <w:spacing w:val="0"/>
          <w:sz w:val="21"/>
        </w:rPr>
        <w:t>会降低催化活性，因为生成了</w:t>
      </w:r>
    </w:p>
    <w:p w14:paraId="50F91AE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B. CN </w:t>
      </w:r>
      <w:r>
        <w:rPr>
          <w:rFonts w:ascii="宋体" w:hAnsi="宋体" w:cs="宋体"/>
          <w:color w:val="000000"/>
          <w:spacing w:val="0"/>
          <w:sz w:val="21"/>
        </w:rPr>
        <w:t>键初始氢化所需要克服的能垒为</w:t>
      </w:r>
      <w:r>
        <w:rPr>
          <w:rFonts w:ascii="Times New Roman"/>
          <w:color w:val="000000"/>
          <w:spacing w:val="0"/>
          <w:sz w:val="21"/>
        </w:rPr>
        <w:t>-1.75 eV</w:t>
      </w:r>
    </w:p>
    <w:p w14:paraId="3A06D31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TS-2 </w:t>
      </w:r>
      <w:r>
        <w:rPr>
          <w:rFonts w:ascii="宋体" w:hAnsi="宋体" w:cs="宋体"/>
          <w:color w:val="000000"/>
          <w:spacing w:val="0"/>
          <w:sz w:val="21"/>
        </w:rPr>
        <w:t>所属的基元反应为决速步骤</w:t>
      </w:r>
    </w:p>
    <w:p w14:paraId="3D44D50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物种①为</w:t>
      </w:r>
    </w:p>
    <w:p w14:paraId="3427437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14. X </w:t>
      </w:r>
      <w:r>
        <w:rPr>
          <w:rFonts w:ascii="宋体" w:hAnsi="宋体" w:cs="宋体"/>
          <w:color w:val="000000"/>
          <w:spacing w:val="0"/>
          <w:sz w:val="21"/>
        </w:rPr>
        <w:t>是重要的有机合成中间体，其可能的合成反应机理如图。下列说法正确的是</w:t>
      </w:r>
    </w:p>
    <w:p w14:paraId="23F340A1">
      <w:pPr>
        <w:spacing w:before="135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116706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464194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C5A894C">
      <w:pPr>
        <w:sectPr>
          <w:pgSz w:w="11900" w:h="16840"/>
          <w:pgMar w:top="3626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770FA1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02EA89F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67" o:spid="_x0000_s109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68" o:spid="_x0000_s1094" o:spt="75" type="#_x0000_t75" style="position:absolute;left:0pt;margin-left:53pt;margin-top:472.5pt;height:92.8pt;width:411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8" o:title=""/>
            <o:lock v:ext="edit" aspectratio="t"/>
          </v:shape>
        </w:pict>
      </w:r>
      <w:r>
        <w:pict>
          <v:shape id="_x000069" o:spid="_x0000_s109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70" o:spid="_x0000_s1096" o:spt="75" type="#_x0000_t75" style="position:absolute;left:0pt;margin-left:53pt;margin-top:68.05pt;height:152.85pt;width:246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9" o:title=""/>
            <o:lock v:ext="edit" aspectratio="t"/>
          </v:shape>
        </w:pict>
      </w:r>
      <w:r>
        <w:pict>
          <v:shape id="_x000071" o:spid="_x0000_s1097" o:spt="75" type="#_x0000_t75" style="position:absolute;left:0pt;margin-left:110.05pt;margin-top:251.1pt;height:20pt;width:5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0" o:title=""/>
            <o:lock v:ext="edit" aspectratio="t"/>
          </v:shape>
        </w:pict>
      </w:r>
      <w:r>
        <w:pict>
          <v:shape id="_x000072" o:spid="_x0000_s1098" o:spt="75" type="#_x0000_t75" style="position:absolute;left:0pt;margin-left:166.3pt;margin-top:279.6pt;height:25.25pt;width:68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1" o:title=""/>
            <o:lock v:ext="edit" aspectratio="t"/>
          </v:shape>
        </w:pict>
      </w:r>
      <w:r>
        <w:pict>
          <v:shape id="_x000073" o:spid="_x0000_s1099" o:spt="75" type="#_x0000_t75" style="position:absolute;left:0pt;margin-left:53pt;margin-top:382.5pt;height:85.3pt;width:425.9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2" o:title=""/>
            <o:lock v:ext="edit" aspectratio="t"/>
          </v:shape>
        </w:pict>
      </w:r>
      <w:r>
        <w:pict>
          <v:shape id="_x000074" o:spid="_x0000_s1100" o:spt="75" type="#_x0000_t75" style="position:absolute;left:0pt;margin-left:53pt;margin-top:570.05pt;height:85.3pt;width:296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的催化剂为</w:t>
      </w:r>
      <w:r>
        <w:rPr>
          <w:rFonts w:ascii="Times New Roman"/>
          <w:color w:val="000000"/>
          <w:spacing w:val="0"/>
          <w:sz w:val="21"/>
        </w:rPr>
        <w:t xml:space="preserve"> NHC</w:t>
      </w:r>
    </w:p>
    <w:p w14:paraId="263D1E2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反应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发生氧化反应</w:t>
      </w:r>
    </w:p>
    <w:p w14:paraId="1151282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的结构简式为</w:t>
      </w:r>
    </w:p>
    <w:p w14:paraId="4B30A64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总反应的原子利用率为</w:t>
      </w:r>
      <w:r>
        <w:rPr>
          <w:rFonts w:ascii="Times New Roman"/>
          <w:color w:val="000000"/>
          <w:spacing w:val="0"/>
          <w:sz w:val="21"/>
        </w:rPr>
        <w:t xml:space="preserve"> 100%</w:t>
      </w:r>
    </w:p>
    <w:p w14:paraId="65F1687E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7CED94B8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德戈替尼是一种治疗湿疹的药物，其中间体</w:t>
      </w:r>
      <w:r>
        <w:rPr>
          <w:rFonts w:ascii="Times New Roman"/>
          <w:color w:val="000000"/>
          <w:spacing w:val="0"/>
          <w:sz w:val="21"/>
        </w:rPr>
        <w:t xml:space="preserve"> K </w:t>
      </w:r>
      <w:r>
        <w:rPr>
          <w:rFonts w:ascii="宋体" w:hAnsi="宋体" w:cs="宋体"/>
          <w:color w:val="000000"/>
          <w:spacing w:val="-5"/>
          <w:sz w:val="21"/>
        </w:rPr>
        <w:t>的合成路线如下（部分试剂和条件已略去）。</w:t>
      </w:r>
    </w:p>
    <w:p w14:paraId="33670CBA">
      <w:pPr>
        <w:spacing w:before="585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6FCDBF35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）化合物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的名称是</w:t>
      </w:r>
      <w:r>
        <w:rPr>
          <w:rFonts w:ascii="Times New Roman"/>
          <w:color w:val="000000"/>
          <w:spacing w:val="0"/>
          <w:sz w:val="21"/>
        </w:rPr>
        <w:t>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F0C795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）写出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的结构简式</w:t>
      </w:r>
      <w:r>
        <w:rPr>
          <w:rFonts w:ascii="Times New Roman"/>
          <w:color w:val="000000"/>
          <w:spacing w:val="0"/>
          <w:sz w:val="21"/>
        </w:rPr>
        <w:t>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D1EA4B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）由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生成</w:t>
      </w:r>
      <w:r>
        <w:rPr>
          <w:rFonts w:ascii="Times New Roman"/>
          <w:color w:val="000000"/>
          <w:spacing w:val="0"/>
          <w:sz w:val="21"/>
        </w:rPr>
        <w:t xml:space="preserve"> E </w:t>
      </w:r>
      <w:r>
        <w:rPr>
          <w:rFonts w:ascii="宋体" w:hAnsi="宋体" w:cs="宋体"/>
          <w:color w:val="000000"/>
          <w:spacing w:val="0"/>
          <w:sz w:val="21"/>
        </w:rPr>
        <w:t>的过程中，产生的无机废气应使用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（填化学式）溶液吸收。</w:t>
      </w:r>
    </w:p>
    <w:p w14:paraId="7C8D6BFC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E0CFF8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FE473B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0EEFBB8">
      <w:pPr>
        <w:sectPr>
          <w:pgSz w:w="11900" w:h="16840"/>
          <w:pgMar w:top="456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A71A67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874680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75" o:spid="_x0000_s110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76" o:spid="_x0000_s1102" o:spt="75" type="#_x0000_t75" style="position:absolute;left:0pt;margin-left:209.1pt;margin-top:468.75pt;height:22.25pt;width:134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4" o:title=""/>
            <o:lock v:ext="edit" aspectratio="t"/>
          </v:shape>
        </w:pict>
      </w:r>
      <w:r>
        <w:pict>
          <v:shape id="_x000077" o:spid="_x0000_s110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78" o:spid="_x0000_s1104" o:spt="75" type="#_x0000_t75" style="position:absolute;left:0pt;margin-left:257.85pt;margin-top:235.35pt;height:20pt;width:46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5" o:title=""/>
            <o:lock v:ext="edit" aspectratio="t"/>
          </v:shape>
        </w:pict>
      </w:r>
      <w:r>
        <w:pict>
          <v:shape id="_x000079" o:spid="_x0000_s1105" o:spt="75" type="#_x0000_t75" style="position:absolute;left:0pt;margin-left:53pt;margin-top:285.6pt;height:123.55pt;width:304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6" o:title=""/>
            <o:lock v:ext="edit" aspectratio="t"/>
          </v:shape>
        </w:pict>
      </w:r>
      <w:r>
        <w:pict>
          <v:shape id="_x000080" o:spid="_x0000_s1106" o:spt="75" type="#_x0000_t75" style="position:absolute;left:0pt;margin-left:130.3pt;margin-top:438.75pt;height:20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pict>
          <v:shape id="_x000081" o:spid="_x0000_s1107" o:spt="75" type="#_x0000_t75" style="position:absolute;left:0pt;margin-left:68.8pt;margin-top:468.75pt;height:22.25pt;width:131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8" o:title=""/>
            <o:lock v:ext="edit" aspectratio="t"/>
          </v:shape>
        </w:pict>
      </w:r>
      <w:r>
        <w:pict>
          <v:shape id="_x000082" o:spid="_x0000_s1108" o:spt="75" type="#_x0000_t75" style="position:absolute;left:0pt;margin-left:131.05pt;margin-top:500.25pt;height:37.25pt;width:167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9" o:title=""/>
            <o:lock v:ext="edit" aspectratio="t"/>
          </v:shape>
        </w:pict>
      </w:r>
      <w:r>
        <w:pict>
          <v:shape id="_x000083" o:spid="_x0000_s1109" o:spt="75" type="#_x0000_t75" style="position:absolute;left:0pt;margin-left:152.05pt;margin-top:571.55pt;height:20pt;width:29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E </w:t>
      </w:r>
      <w:r>
        <w:rPr>
          <w:rFonts w:ascii="宋体" w:hAnsi="宋体" w:cs="宋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0"/>
          <w:sz w:val="21"/>
        </w:rPr>
        <w:t xml:space="preserve"> F </w:t>
      </w:r>
      <w:r>
        <w:rPr>
          <w:rFonts w:ascii="宋体" w:hAnsi="宋体" w:cs="宋体"/>
          <w:color w:val="000000"/>
          <w:spacing w:val="0"/>
          <w:sz w:val="21"/>
        </w:rPr>
        <w:t>的有机反应类型是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33CAA5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）化合物</w:t>
      </w:r>
      <w:r>
        <w:rPr>
          <w:rFonts w:ascii="Times New Roman"/>
          <w:color w:val="000000"/>
          <w:spacing w:val="0"/>
          <w:sz w:val="21"/>
        </w:rPr>
        <w:t xml:space="preserve"> G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（填“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”）号碳上氢原子酸性更强。</w:t>
      </w:r>
    </w:p>
    <w:p w14:paraId="72D82E1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）写出Ⅰ的结构简式</w:t>
      </w:r>
      <w:r>
        <w:rPr>
          <w:rFonts w:ascii="Times New Roman"/>
          <w:color w:val="000000"/>
          <w:spacing w:val="0"/>
          <w:sz w:val="21"/>
        </w:rPr>
        <w:t>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8FF148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宋体" w:hAnsi="宋体" w:cs="宋体"/>
          <w:color w:val="000000"/>
          <w:spacing w:val="0"/>
          <w:sz w:val="21"/>
        </w:rPr>
        <w:t>）化合物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的同分异构体中，满足下列条件的有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9"/>
          <w:sz w:val="21"/>
        </w:rPr>
        <w:t>种（不考虑立体异构）。</w:t>
      </w:r>
    </w:p>
    <w:p w14:paraId="6CD3D68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）含有两个六元环，其中一个是苯环；</w:t>
      </w:r>
    </w:p>
    <w:p w14:paraId="56182B2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）苯环只有一个取代基。</w:t>
      </w:r>
    </w:p>
    <w:p w14:paraId="5D5DC46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写出其中一种无手性的结构简式</w:t>
      </w:r>
      <w:r>
        <w:rPr>
          <w:rFonts w:ascii="Times New Roman"/>
          <w:color w:val="000000"/>
          <w:spacing w:val="0"/>
          <w:sz w:val="21"/>
        </w:rPr>
        <w:t>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EB202A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稀散金属铟（</w:t>
      </w:r>
      <w:r>
        <w:rPr>
          <w:rFonts w:ascii="Times New Roman"/>
          <w:color w:val="000000"/>
          <w:spacing w:val="0"/>
          <w:sz w:val="21"/>
        </w:rPr>
        <w:t>In</w:t>
      </w:r>
      <w:r>
        <w:rPr>
          <w:rFonts w:ascii="宋体" w:hAnsi="宋体" w:cs="宋体"/>
          <w:color w:val="000000"/>
          <w:spacing w:val="-1"/>
          <w:sz w:val="21"/>
        </w:rPr>
        <w:t>）是重要的战略资源。粗</w:t>
      </w:r>
      <w:r>
        <w:rPr>
          <w:rFonts w:ascii="Times New Roman"/>
          <w:color w:val="000000"/>
          <w:spacing w:val="83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中主要杂质元素有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-3"/>
          <w:sz w:val="21"/>
        </w:rPr>
        <w:t>As</w:t>
      </w:r>
      <w:r>
        <w:rPr>
          <w:rFonts w:ascii="宋体" w:hAnsi="宋体" w:cs="宋体"/>
          <w:color w:val="000000"/>
          <w:spacing w:val="-26"/>
          <w:sz w:val="21"/>
        </w:rPr>
        <w:t>（Ⅲ）、</w:t>
      </w:r>
      <w:r>
        <w:rPr>
          <w:rFonts w:ascii="Times New Roman"/>
          <w:color w:val="000000"/>
          <w:spacing w:val="-3"/>
          <w:sz w:val="21"/>
        </w:rPr>
        <w:t>Fe</w:t>
      </w:r>
      <w:r>
        <w:rPr>
          <w:rFonts w:ascii="宋体" w:hAnsi="宋体" w:cs="宋体"/>
          <w:color w:val="000000"/>
          <w:spacing w:val="-26"/>
          <w:sz w:val="21"/>
        </w:rPr>
        <w:t>（Ⅲ）、</w:t>
      </w:r>
      <w:r>
        <w:rPr>
          <w:rFonts w:ascii="Times New Roman"/>
          <w:color w:val="000000"/>
          <w:spacing w:val="-3"/>
          <w:sz w:val="21"/>
        </w:rPr>
        <w:t>Pb</w:t>
      </w:r>
      <w:r>
        <w:rPr>
          <w:rFonts w:ascii="宋体" w:hAnsi="宋体" w:cs="宋体"/>
          <w:color w:val="000000"/>
          <w:spacing w:val="-22"/>
          <w:sz w:val="21"/>
        </w:rPr>
        <w:t>（Ⅱ），精</w:t>
      </w:r>
    </w:p>
    <w:p w14:paraId="3C51DCB1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制工艺流程图如下：</w:t>
      </w:r>
    </w:p>
    <w:p w14:paraId="788F31FB">
      <w:pPr>
        <w:spacing w:before="274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已知：</w:t>
      </w:r>
    </w:p>
    <w:p w14:paraId="1F999E75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）萃取剂</w:t>
      </w:r>
      <w:r>
        <w:rPr>
          <w:rFonts w:ascii="Times New Roman"/>
          <w:color w:val="000000"/>
          <w:spacing w:val="0"/>
          <w:sz w:val="21"/>
        </w:rPr>
        <w:t>[Hbet][</w:t>
      </w:r>
      <w:r>
        <w:rPr>
          <w:rFonts w:ascii="Times New Roman"/>
          <w:color w:val="000000"/>
          <w:spacing w:val="5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]</w:t>
      </w:r>
      <w:r>
        <w:rPr>
          <w:rFonts w:ascii="宋体" w:hAnsi="宋体" w:cs="宋体"/>
          <w:color w:val="000000"/>
          <w:spacing w:val="0"/>
          <w:sz w:val="21"/>
        </w:rPr>
        <w:t>是离子液体</w:t>
      </w:r>
    </w:p>
    <w:p w14:paraId="255EE8B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254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26CA8AA9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）分配率（</w:t>
      </w: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A1F3F12">
      <w:pPr>
        <w:spacing w:before="471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3C424A6C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）离子液体</w:t>
      </w:r>
      <w:r>
        <w:rPr>
          <w:rFonts w:ascii="Times New Roman"/>
          <w:color w:val="000000"/>
          <w:spacing w:val="0"/>
          <w:sz w:val="21"/>
        </w:rPr>
        <w:t>[Hbet][</w:t>
      </w:r>
      <w:r>
        <w:rPr>
          <w:rFonts w:ascii="Times New Roman"/>
          <w:color w:val="000000"/>
          <w:spacing w:val="5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]________</w:t>
      </w:r>
      <w:r>
        <w:rPr>
          <w:rFonts w:ascii="宋体" w:hAnsi="宋体" w:cs="宋体"/>
          <w:color w:val="000000"/>
          <w:spacing w:val="0"/>
          <w:sz w:val="21"/>
        </w:rPr>
        <w:t>（填“能”或“不能”）与水互溶。</w:t>
      </w:r>
    </w:p>
    <w:p w14:paraId="6370A6F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）阶段Ⅰ，</w:t>
      </w:r>
      <w:r>
        <w:rPr>
          <w:rFonts w:ascii="Times New Roman"/>
          <w:color w:val="000000"/>
          <w:spacing w:val="0"/>
          <w:sz w:val="21"/>
        </w:rPr>
        <w:t>In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Fe </w:t>
      </w:r>
      <w:r>
        <w:rPr>
          <w:rFonts w:ascii="宋体" w:hAnsi="宋体" w:cs="宋体"/>
          <w:color w:val="000000"/>
          <w:spacing w:val="0"/>
          <w:sz w:val="21"/>
        </w:rPr>
        <w:t>元素在两种体系中的浸出率及分配率如图，体系中维生素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Vc</w:t>
      </w:r>
      <w:r>
        <w:rPr>
          <w:rFonts w:ascii="宋体" w:hAnsi="宋体" w:cs="宋体"/>
          <w:color w:val="000000"/>
          <w:spacing w:val="0"/>
          <w:sz w:val="21"/>
        </w:rPr>
        <w:t>）的作用是</w:t>
      </w:r>
    </w:p>
    <w:p w14:paraId="64A00C9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9C167C2">
      <w:pPr>
        <w:spacing w:before="260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07BDF7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7CED2D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B0A8870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C9034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21F592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84" o:spid="_x0000_s111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85" o:spid="_x0000_s1111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86" o:spid="_x0000_s111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87" o:spid="_x0000_s1113" o:spt="75" type="#_x0000_t75" style="position:absolute;left:0pt;margin-left:53pt;margin-top:65.8pt;height:125.8pt;width:262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pict>
          <v:shape id="_x000088" o:spid="_x0000_s1114" o:spt="75" type="#_x0000_t75" style="position:absolute;left:0pt;margin-left:175.3pt;margin-top:220.35pt;height:20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1" o:title=""/>
            <o:lock v:ext="edit" aspectratio="t"/>
          </v:shape>
        </w:pict>
      </w:r>
      <w:r>
        <w:pict>
          <v:shape id="_x000089" o:spid="_x0000_s1115" o:spt="75" type="#_x0000_t75" style="position:absolute;left:0pt;margin-left:337.35pt;margin-top:221.85pt;height:16.25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2" o:title=""/>
            <o:lock v:ext="edit" aspectratio="t"/>
          </v:shape>
        </w:pict>
      </w:r>
      <w:r>
        <w:pict>
          <v:shape id="_x000090" o:spid="_x0000_s1116" o:spt="75" type="#_x0000_t75" style="position:absolute;left:0pt;margin-left:47pt;margin-top:244.35pt;height:176.85pt;width:56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3" o:title=""/>
            <o:lock v:ext="edit" aspectratio="t"/>
          </v:shape>
        </w:pict>
      </w:r>
      <w:r>
        <w:pict>
          <v:shape id="_x000091" o:spid="_x0000_s1117" o:spt="75" type="#_x0000_t75" style="position:absolute;left:0pt;margin-left:119.05pt;margin-top:426pt;height:20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1" o:title=""/>
            <o:lock v:ext="edit" aspectratio="t"/>
          </v:shape>
        </w:pict>
      </w:r>
      <w:r>
        <w:pict>
          <v:shape id="_x000092" o:spid="_x0000_s1118" o:spt="75" type="#_x0000_t75" style="position:absolute;left:0pt;margin-left:165.55pt;margin-top:426.75pt;height:17.75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4" o:title=""/>
            <o:lock v:ext="edit" aspectratio="t"/>
          </v:shape>
        </w:pict>
      </w:r>
      <w:r>
        <w:pict>
          <v:shape id="_x000093" o:spid="_x0000_s1119" o:spt="75" type="#_x0000_t75" style="position:absolute;left:0pt;margin-left:152.8pt;margin-top:478.5pt;height:23.75pt;width:55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5" o:title=""/>
            <o:lock v:ext="edit" aspectratio="t"/>
          </v:shape>
        </w:pict>
      </w:r>
      <w:r>
        <w:pict>
          <v:shape id="_x000094" o:spid="_x0000_s1120" o:spt="75" type="#_x0000_t75" style="position:absolute;left:0pt;margin-left:248.1pt;margin-top:481.5pt;height:17.75pt;width:4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6" o:title=""/>
            <o:lock v:ext="edit" aspectratio="t"/>
          </v:shape>
        </w:pict>
      </w:r>
      <w:r>
        <w:pict>
          <v:shape id="_x000095" o:spid="_x0000_s1121" o:spt="75" type="#_x0000_t75" style="position:absolute;left:0pt;margin-left:310.35pt;margin-top:481.5pt;height:17.75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7" o:title=""/>
            <o:lock v:ext="edit" aspectratio="t"/>
          </v:shape>
        </w:pict>
      </w:r>
      <w:r>
        <w:pict>
          <v:shape id="_x000096" o:spid="_x0000_s1122" o:spt="75" type="#_x0000_t75" style="position:absolute;left:0pt;margin-left:163.3pt;margin-top:511.5pt;height:20pt;width:4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8" o:title=""/>
            <o:lock v:ext="edit" aspectratio="t"/>
          </v:shape>
        </w:pict>
      </w:r>
      <w:r>
        <w:pict>
          <v:shape id="_x000097" o:spid="_x0000_s1123" o:spt="75" type="#_x0000_t75" style="position:absolute;left:0pt;margin-left:268.35pt;margin-top:511.5pt;height:20pt;width:4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9" o:title=""/>
            <o:lock v:ext="edit" aspectratio="t"/>
          </v:shape>
        </w:pict>
      </w:r>
      <w:r>
        <w:pict>
          <v:shape id="_x000098" o:spid="_x0000_s1124" o:spt="75" type="#_x0000_t75" style="position:absolute;left:0pt;margin-left:71.8pt;margin-top:566.3pt;height:20pt;width:5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0" o:title=""/>
            <o:lock v:ext="edit" aspectratio="t"/>
          </v:shape>
        </w:pict>
      </w:r>
      <w:r>
        <w:pict>
          <v:shape id="_x000099" o:spid="_x0000_s1125" o:spt="75" type="#_x0000_t75" style="position:absolute;left:0pt;margin-left:53pt;margin-top:621.05pt;height:113.8pt;width:339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）有机相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可循环用于阶段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-7"/>
          <w:sz w:val="21"/>
        </w:rPr>
        <w:t>（填“Ⅰ”“Ⅱ”或“Ⅲ”）。</w:t>
      </w:r>
    </w:p>
    <w:p w14:paraId="4CB680E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）试剂①可选择</w:t>
      </w:r>
      <w:r>
        <w:rPr>
          <w:rFonts w:ascii="Times New Roman"/>
          <w:color w:val="000000"/>
          <w:spacing w:val="0"/>
          <w:sz w:val="21"/>
        </w:rPr>
        <w:t xml:space="preserve"> HCl 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，主要元素的含量如下表（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-9"/>
          <w:sz w:val="21"/>
        </w:rPr>
        <w:t>，按投料计质量分数）。</w:t>
      </w:r>
    </w:p>
    <w:p w14:paraId="6F6E6F3E">
      <w:pPr>
        <w:spacing w:before="472" w:after="0" w:line="243" w:lineRule="exact"/>
        <w:ind w:left="450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水相</w:t>
      </w:r>
      <w:r>
        <w:rPr>
          <w:rFonts w:ascii="Times New Roman"/>
          <w:color w:val="000000"/>
          <w:spacing w:val="0"/>
          <w:sz w:val="21"/>
        </w:rPr>
        <w:t xml:space="preserve"> 2/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26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精制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</w:p>
    <w:p w14:paraId="41F293B9">
      <w:pPr>
        <w:spacing w:before="15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元素</w:t>
      </w:r>
      <w:r>
        <w:rPr>
          <w:rFonts w:ascii="Times New Roman"/>
          <w:color w:val="000000"/>
          <w:spacing w:val="17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粗</w:t>
      </w:r>
      <w:r>
        <w:rPr>
          <w:rFonts w:ascii="Times New Roman"/>
          <w:color w:val="000000"/>
          <w:spacing w:val="84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</w:t>
      </w:r>
    </w:p>
    <w:p w14:paraId="5C452E87">
      <w:pPr>
        <w:spacing w:before="152" w:after="0" w:line="243" w:lineRule="exact"/>
        <w:ind w:left="522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组</w:t>
      </w:r>
      <w:r>
        <w:rPr>
          <w:rFonts w:ascii="Times New Roman"/>
          <w:color w:val="000000"/>
          <w:spacing w:val="12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HCl </w:t>
      </w:r>
      <w:r>
        <w:rPr>
          <w:rFonts w:ascii="宋体" w:hAnsi="宋体" w:cs="宋体"/>
          <w:color w:val="000000"/>
          <w:spacing w:val="0"/>
          <w:sz w:val="21"/>
        </w:rPr>
        <w:t>组</w:t>
      </w:r>
      <w:r>
        <w:rPr>
          <w:rFonts w:ascii="Times New Roman"/>
          <w:color w:val="000000"/>
          <w:spacing w:val="230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组</w:t>
      </w:r>
    </w:p>
    <w:p w14:paraId="7953DA8D">
      <w:pPr>
        <w:spacing w:before="4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Fe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1.60</w:t>
      </w:r>
      <w:r>
        <w:rPr>
          <w:rFonts w:ascii="Times New Roman"/>
          <w:color w:val="000000"/>
          <w:spacing w:val="18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41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32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0.071</w:t>
      </w:r>
    </w:p>
    <w:p w14:paraId="7FBA4E57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Pb</w:t>
      </w:r>
      <w:r>
        <w:rPr>
          <w:rFonts w:ascii="Times New Roman"/>
          <w:color w:val="000000"/>
          <w:spacing w:val="197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0.26</w:t>
      </w:r>
      <w:r>
        <w:rPr>
          <w:rFonts w:ascii="Times New Roman"/>
          <w:color w:val="000000"/>
          <w:spacing w:val="183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color w:val="000000"/>
          <w:spacing w:val="20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44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0.0042</w:t>
      </w:r>
    </w:p>
    <w:p w14:paraId="584ABE58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In</w:t>
      </w:r>
      <w:r>
        <w:rPr>
          <w:rFonts w:ascii="Times New Roman"/>
          <w:color w:val="000000"/>
          <w:spacing w:val="20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58</w:t>
      </w:r>
      <w:r>
        <w:rPr>
          <w:rFonts w:ascii="Times New Roman"/>
          <w:color w:val="000000"/>
          <w:spacing w:val="198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18000</w:t>
      </w:r>
      <w:r>
        <w:rPr>
          <w:rFonts w:ascii="Times New Roman"/>
          <w:color w:val="000000"/>
          <w:spacing w:val="167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33000</w:t>
      </w:r>
      <w:r>
        <w:rPr>
          <w:rFonts w:ascii="Times New Roman"/>
          <w:color w:val="000000"/>
          <w:spacing w:val="167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51</w:t>
      </w:r>
    </w:p>
    <w:p w14:paraId="08E1AF36">
      <w:pPr>
        <w:spacing w:before="3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宋体" w:hAnsi="宋体" w:cs="宋体"/>
          <w:color w:val="000000"/>
          <w:spacing w:val="0"/>
          <w:sz w:val="21"/>
        </w:rPr>
        <w:t>．水相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中，</w:t>
      </w:r>
      <w:r>
        <w:rPr>
          <w:rFonts w:ascii="Times New Roman"/>
          <w:color w:val="000000"/>
          <w:spacing w:val="6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组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浓度远小于</w:t>
      </w:r>
      <w:r>
        <w:rPr>
          <w:rFonts w:ascii="Times New Roman"/>
          <w:color w:val="000000"/>
          <w:spacing w:val="0"/>
          <w:sz w:val="21"/>
        </w:rPr>
        <w:t xml:space="preserve"> HCl </w:t>
      </w:r>
      <w:r>
        <w:rPr>
          <w:rFonts w:ascii="宋体" w:hAnsi="宋体" w:cs="宋体"/>
          <w:color w:val="000000"/>
          <w:spacing w:val="0"/>
          <w:sz w:val="21"/>
        </w:rPr>
        <w:t>组，原因是</w:t>
      </w:r>
      <w:r>
        <w:rPr>
          <w:rFonts w:ascii="Times New Roman"/>
          <w:color w:val="000000"/>
          <w:spacing w:val="0"/>
          <w:sz w:val="21"/>
        </w:rPr>
        <w:t>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419153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ii</w:t>
      </w:r>
      <w:r>
        <w:rPr>
          <w:rFonts w:ascii="宋体" w:hAnsi="宋体" w:cs="宋体"/>
          <w:color w:val="000000"/>
          <w:spacing w:val="0"/>
          <w:sz w:val="21"/>
        </w:rPr>
        <w:t>．实际工艺中选用</w:t>
      </w:r>
      <w:r>
        <w:rPr>
          <w:rFonts w:ascii="Times New Roman"/>
          <w:color w:val="000000"/>
          <w:spacing w:val="0"/>
          <w:sz w:val="21"/>
        </w:rPr>
        <w:t xml:space="preserve"> HCl </w:t>
      </w:r>
      <w:r>
        <w:rPr>
          <w:rFonts w:ascii="宋体" w:hAnsi="宋体" w:cs="宋体"/>
          <w:color w:val="000000"/>
          <w:spacing w:val="0"/>
          <w:sz w:val="21"/>
        </w:rPr>
        <w:t>的原因是</w:t>
      </w:r>
      <w:r>
        <w:rPr>
          <w:rFonts w:ascii="Times New Roman"/>
          <w:color w:val="000000"/>
          <w:spacing w:val="0"/>
          <w:sz w:val="21"/>
        </w:rPr>
        <w:t>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E3DCCD9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）阶段Ⅲ，溶液中</w:t>
      </w:r>
      <w:r>
        <w:rPr>
          <w:rFonts w:ascii="Times New Roman"/>
          <w:color w:val="000000"/>
          <w:spacing w:val="10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恰好沉淀完全。</w:t>
      </w:r>
    </w:p>
    <w:p w14:paraId="163814C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）水相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中的砷酸（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）最终转化成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沉淀，杂质</w:t>
      </w:r>
      <w:r>
        <w:rPr>
          <w:rFonts w:ascii="Times New Roman"/>
          <w:color w:val="000000"/>
          <w:spacing w:val="0"/>
          <w:sz w:val="21"/>
        </w:rPr>
        <w:t xml:space="preserve"> As </w:t>
      </w:r>
      <w:r>
        <w:rPr>
          <w:rFonts w:ascii="宋体" w:hAnsi="宋体" w:cs="宋体"/>
          <w:color w:val="000000"/>
          <w:spacing w:val="0"/>
          <w:sz w:val="21"/>
        </w:rPr>
        <w:t>被除去。写出总化学反应方程式</w:t>
      </w:r>
    </w:p>
    <w:p w14:paraId="1D46424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137F1F8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102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/CaO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热化学储能体系可作为化学热泵，具有储能密度高、储／释能速度快等优点。其化学反</w:t>
      </w:r>
    </w:p>
    <w:p w14:paraId="23634EDF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应与能量关系图如下：</w:t>
      </w:r>
    </w:p>
    <w:p w14:paraId="62C94DAB">
      <w:pPr>
        <w:spacing w:before="274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3F57D531">
      <w:pPr>
        <w:spacing w:before="21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A2E173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F8FD16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B087768">
      <w:pPr>
        <w:sectPr>
          <w:pgSz w:w="11900" w:h="16840"/>
          <w:pgMar w:top="393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D807D0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261871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00" o:spid="_x0000_s11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01" o:spid="_x0000_s11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02" o:spid="_x0000_s11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03" o:spid="_x0000_s1129" o:spt="75" type="#_x0000_t75" style="position:absolute;left:0pt;margin-left:79.3pt;margin-top:74.05pt;height:14.75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2" o:title=""/>
            <o:lock v:ext="edit" aspectratio="t"/>
          </v:shape>
        </w:pict>
      </w:r>
      <w:r>
        <w:pict>
          <v:shape id="_x0000104" o:spid="_x0000_s1130" o:spt="75" type="#_x0000_t75" style="position:absolute;left:0pt;margin-left:143.05pt;margin-top:72.55pt;height:17.75pt;width:5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3" o:title=""/>
            <o:lock v:ext="edit" aspectratio="t"/>
          </v:shape>
        </w:pict>
      </w:r>
      <w:r>
        <w:pict>
          <v:shape id="_x0000105" o:spid="_x0000_s1131" o:spt="75" type="#_x0000_t75" style="position:absolute;left:0pt;margin-left:142.3pt;margin-top:103.3pt;height:20pt;width:5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4" o:title=""/>
            <o:lock v:ext="edit" aspectratio="t"/>
          </v:shape>
        </w:pict>
      </w:r>
      <w:r>
        <w:pict>
          <v:shape id="_x0000106" o:spid="_x0000_s1132" o:spt="75" type="#_x0000_t75" style="position:absolute;left:0pt;margin-left:79.3pt;margin-top:134.1pt;height:20pt;width:5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4" o:title=""/>
            <o:lock v:ext="edit" aspectratio="t"/>
          </v:shape>
        </w:pict>
      </w:r>
      <w:r>
        <w:pict>
          <v:shape id="_x0000107" o:spid="_x0000_s1133" o:spt="75" type="#_x0000_t75" style="position:absolute;left:0pt;margin-left:268.35pt;margin-top:134.1pt;height:20pt;width:5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0" o:title=""/>
            <o:lock v:ext="edit" aspectratio="t"/>
          </v:shape>
        </w:pict>
      </w:r>
      <w:r>
        <w:pict>
          <v:shape id="_x0000108" o:spid="_x0000_s1134" o:spt="75" type="#_x0000_t75" style="position:absolute;left:0pt;margin-left:369.6pt;margin-top:134.1pt;height:20pt;width:1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5" o:title=""/>
            <o:lock v:ext="edit" aspectratio="t"/>
          </v:shape>
        </w:pict>
      </w:r>
      <w:r>
        <w:pict>
          <v:shape id="_x0000109" o:spid="_x0000_s1135" o:spt="75" type="#_x0000_t75" style="position:absolute;left:0pt;margin-left:95.05pt;margin-top:163.35pt;height:16.25pt;width:40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6" o:title=""/>
            <o:lock v:ext="edit" aspectratio="t"/>
          </v:shape>
        </w:pict>
      </w:r>
      <w:r>
        <w:pict>
          <v:shape id="_x0000110" o:spid="_x0000_s1136" o:spt="75" type="#_x0000_t75" style="position:absolute;left:0pt;margin-left:163.3pt;margin-top:212.1pt;height:20pt;width:170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7" o:title=""/>
            <o:lock v:ext="edit" aspectratio="t"/>
          </v:shape>
        </w:pict>
      </w:r>
      <w:r>
        <w:pict>
          <v:shape id="_x0000111" o:spid="_x0000_s1137" o:spt="75" type="#_x0000_t75" style="position:absolute;left:0pt;margin-left:416.2pt;margin-top:213.6pt;height:17.75pt;width:4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8" o:title=""/>
            <o:lock v:ext="edit" aspectratio="t"/>
          </v:shape>
        </w:pict>
      </w:r>
      <w:r>
        <w:pict>
          <v:shape id="_x0000112" o:spid="_x0000_s1138" o:spt="75" type="#_x0000_t75" style="position:absolute;left:0pt;margin-left:53pt;margin-top:262.35pt;height:200.1pt;width:297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99" o:title=""/>
            <o:lock v:ext="edit" aspectratio="t"/>
          </v:shape>
        </w:pict>
      </w:r>
      <w:r>
        <w:pict>
          <v:shape id="_x0000113" o:spid="_x0000_s1139" o:spt="75" type="#_x0000_t75" style="position:absolute;left:0pt;margin-left:100.3pt;margin-top:468.75pt;height:14.75pt;width:2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0" o:title=""/>
            <o:lock v:ext="edit" aspectratio="t"/>
          </v:shape>
        </w:pict>
      </w:r>
      <w:r>
        <w:pict>
          <v:shape id="_x0000114" o:spid="_x0000_s1140" o:spt="75" type="#_x0000_t75" style="position:absolute;left:0pt;margin-left:219.6pt;margin-top:468.75pt;height:14.7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1" o:title=""/>
            <o:lock v:ext="edit" aspectratio="t"/>
          </v:shape>
        </w:pict>
      </w:r>
      <w:r>
        <w:pict>
          <v:shape id="_x0000115" o:spid="_x0000_s1141" o:spt="75" type="#_x0000_t75" style="position:absolute;left:0pt;margin-left:511.45pt;margin-top:468.75pt;height:14.75pt;width:2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2" o:title=""/>
            <o:lock v:ext="edit" aspectratio="t"/>
          </v:shape>
        </w:pict>
      </w:r>
      <w:r>
        <w:pict>
          <v:shape id="_x0000116" o:spid="_x0000_s1142" o:spt="75" type="#_x0000_t75" style="position:absolute;left:0pt;margin-left:95.05pt;margin-top:494.25pt;height:17.75pt;width:1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3" o:title=""/>
            <o:lock v:ext="edit" aspectratio="t"/>
          </v:shape>
        </w:pict>
      </w:r>
      <w:r>
        <w:pict>
          <v:shape id="_x0000117" o:spid="_x0000_s1143" o:spt="75" type="#_x0000_t75" style="position:absolute;left:0pt;margin-left:219.6pt;margin-top:524.25pt;height:20pt;width:28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4" o:title=""/>
            <o:lock v:ext="edit" aspectratio="t"/>
          </v:shape>
        </w:pict>
      </w:r>
      <w:r>
        <w:pict>
          <v:shape id="_x0000118" o:spid="_x0000_s1144" o:spt="75" type="#_x0000_t75" style="position:absolute;left:0pt;margin-left:53pt;margin-top:549.05pt;height:188.85pt;width:284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8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color w:val="000000"/>
          <w:spacing w:val="9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FFB8BBD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）同等条件下，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表面自由能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（块状）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-15"/>
          <w:sz w:val="21"/>
        </w:rPr>
        <w:t>（粉末）（填“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宋体" w:hAnsi="宋体" w:cs="宋体"/>
          <w:color w:val="000000"/>
          <w:spacing w:val="0"/>
          <w:sz w:val="21"/>
        </w:rPr>
        <w:t>”“</w:t>
      </w:r>
      <w:r>
        <w:rPr>
          <w:rFonts w:ascii="Times New Roman"/>
          <w:color w:val="000000"/>
          <w:spacing w:val="0"/>
          <w:sz w:val="21"/>
        </w:rPr>
        <w:t>=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>&lt;</w:t>
      </w:r>
      <w:r>
        <w:rPr>
          <w:rFonts w:ascii="宋体" w:hAnsi="宋体" w:cs="宋体"/>
          <w:color w:val="000000"/>
          <w:spacing w:val="-35"/>
          <w:sz w:val="21"/>
        </w:rPr>
        <w:t>”）。</w:t>
      </w:r>
    </w:p>
    <w:p w14:paraId="3642A7F8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/CaO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开放系统在脱水过程中，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起始质量为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，当固体质量为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时，转化率为</w:t>
      </w:r>
    </w:p>
    <w:p w14:paraId="4BD1D93F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0CE6F7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）空调属于物理热泵，上述关系图中与物理热泵相似的供热过程是</w:t>
      </w:r>
      <w:r>
        <w:rPr>
          <w:rFonts w:ascii="Times New Roman"/>
          <w:color w:val="000000"/>
          <w:spacing w:val="0"/>
          <w:sz w:val="21"/>
        </w:rPr>
        <w:t>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5219BDC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）下图为密闭容器中</w:t>
      </w:r>
      <w:r>
        <w:rPr>
          <w:rFonts w:ascii="Times New Roman"/>
          <w:color w:val="000000"/>
          <w:spacing w:val="33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的理论平衡曲线，</w:t>
      </w:r>
      <w:r>
        <w:rPr>
          <w:rFonts w:ascii="Times New Roman"/>
          <w:color w:val="000000"/>
          <w:spacing w:val="7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在图中能稳定存在</w:t>
      </w:r>
    </w:p>
    <w:p w14:paraId="000F50C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的状态点有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-17"/>
          <w:sz w:val="21"/>
        </w:rPr>
        <w:t>（填标号）。</w:t>
      </w:r>
    </w:p>
    <w:p w14:paraId="1778CD56">
      <w:pPr>
        <w:spacing w:before="42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）假设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金属</w:t>
      </w:r>
      <w:r>
        <w:rPr>
          <w:rFonts w:ascii="Times New Roman"/>
          <w:color w:val="000000"/>
          <w:spacing w:val="0"/>
          <w:sz w:val="21"/>
        </w:rPr>
        <w:t xml:space="preserve"> Ca</w:t>
      </w:r>
      <w:r>
        <w:rPr>
          <w:rFonts w:ascii="宋体" w:hAnsi="宋体" w:cs="宋体"/>
          <w:color w:val="000000"/>
          <w:spacing w:val="0"/>
          <w:sz w:val="21"/>
        </w:rPr>
        <w:t>，原子半径为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，在二维平面单层紧密堆积，则其总面积（含空隙）计算式</w:t>
      </w:r>
    </w:p>
    <w:p w14:paraId="1D0A18CB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86AC3CC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宋体" w:hAnsi="宋体" w:cs="宋体"/>
          <w:color w:val="000000"/>
          <w:spacing w:val="0"/>
          <w:sz w:val="21"/>
        </w:rPr>
        <w:t>）初始</w:t>
      </w:r>
      <w:r>
        <w:rPr>
          <w:rFonts w:ascii="Times New Roman"/>
          <w:color w:val="000000"/>
          <w:spacing w:val="0"/>
          <w:sz w:val="21"/>
        </w:rPr>
        <w:t xml:space="preserve"> CaO </w:t>
      </w:r>
      <w:r>
        <w:rPr>
          <w:rFonts w:ascii="宋体" w:hAnsi="宋体" w:cs="宋体"/>
          <w:color w:val="000000"/>
          <w:spacing w:val="0"/>
          <w:sz w:val="21"/>
        </w:rPr>
        <w:t>质量相同，不同比例</w:t>
      </w:r>
      <w:r>
        <w:rPr>
          <w:rFonts w:ascii="Times New Roman"/>
          <w:color w:val="000000"/>
          <w:spacing w:val="4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CaO </w:t>
      </w:r>
      <w:r>
        <w:rPr>
          <w:rFonts w:ascii="宋体" w:hAnsi="宋体" w:cs="宋体"/>
          <w:color w:val="000000"/>
          <w:spacing w:val="0"/>
          <w:sz w:val="21"/>
        </w:rPr>
        <w:t>反应时间和温度的关系曲线如图。</w:t>
      </w:r>
    </w:p>
    <w:p w14:paraId="1B5A673A">
      <w:pPr>
        <w:spacing w:before="4061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甲同学通过到达最高温度的时间长短，推断出化学反应速率最大的是④。</w:t>
      </w:r>
    </w:p>
    <w:p w14:paraId="34362AC7">
      <w:pPr>
        <w:spacing w:before="27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4A91D9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521B12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E9E3BAF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A7B257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CB10C6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19" o:spid="_x0000_s114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20" o:spid="_x0000_s1146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21" o:spid="_x0000_s114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22" o:spid="_x0000_s1148" o:spt="75" type="#_x0000_t75" style="position:absolute;left:0pt;margin-left:53pt;margin-top:140.85pt;height:116.8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6" o:title=""/>
            <o:lock v:ext="edit" aspectratio="t"/>
          </v:shape>
        </w:pict>
      </w:r>
      <w:r>
        <w:pict>
          <v:shape id="_x0000123" o:spid="_x0000_s1149" o:spt="75" type="#_x0000_t75" style="position:absolute;left:0pt;margin-left:158.05pt;margin-top:265.35pt;height:22.25pt;width:122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7" o:title=""/>
            <o:lock v:ext="edit" aspectratio="t"/>
          </v:shape>
        </w:pict>
      </w:r>
      <w:r>
        <w:pict>
          <v:shape id="_x0000124" o:spid="_x0000_s1150" o:spt="75" type="#_x0000_t75" style="position:absolute;left:0pt;margin-left:210.6pt;margin-top:298.45pt;height:20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8" o:title=""/>
            <o:lock v:ext="edit" aspectratio="t"/>
          </v:shape>
        </w:pict>
      </w:r>
      <w:r>
        <w:pict>
          <v:shape id="_x0000125" o:spid="_x0000_s1151" o:spt="75" type="#_x0000_t75" style="position:absolute;left:0pt;margin-left:233.85pt;margin-top:298.45pt;height:20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9" o:title=""/>
            <o:lock v:ext="edit" aspectratio="t"/>
          </v:shape>
        </w:pict>
      </w:r>
      <w:r>
        <w:pict>
          <v:shape id="_x0000126" o:spid="_x0000_s1152" o:spt="75" type="#_x0000_t75" style="position:absolute;left:0pt;margin-left:299.1pt;margin-top:298.45pt;height:20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0" o:title=""/>
            <o:lock v:ext="edit" aspectratio="t"/>
          </v:shape>
        </w:pict>
      </w:r>
      <w:r>
        <w:pict>
          <v:shape id="_x0000127" o:spid="_x0000_s1153" o:spt="75" type="#_x0000_t75" style="position:absolute;left:0pt;margin-left:420.7pt;margin-top:352.45pt;height:20pt;width:1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1" o:title=""/>
            <o:lock v:ext="edit" aspectratio="t"/>
          </v:shape>
        </w:pict>
      </w:r>
      <w:r>
        <w:pict>
          <v:shape id="_x0000128" o:spid="_x0000_s1154" o:spt="75" type="#_x0000_t75" style="position:absolute;left:0pt;margin-left:79.3pt;margin-top:547.55pt;height:20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08" o:title=""/>
            <o:lock v:ext="edit" aspectratio="t"/>
          </v:shape>
        </w:pict>
      </w:r>
      <w:r>
        <w:pict>
          <v:shape id="_x0000129" o:spid="_x0000_s1155" o:spt="75" type="#_x0000_t75" style="position:absolute;left:0pt;margin-left:102.55pt;margin-top:547.55pt;height:20pt;width:1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1" o:title=""/>
            <o:lock v:ext="edit" aspectratio="t"/>
          </v:shape>
        </w:pict>
      </w:r>
      <w:r>
        <w:pict>
          <v:shape id="_x0000130" o:spid="_x0000_s1156" o:spt="75" type="#_x0000_t75" style="position:absolute;left:0pt;margin-left:254.85pt;margin-top:547.55pt;height:20pt;width:1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1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乙同学认为该结论不正确，理由是</w:t>
      </w:r>
      <w:r>
        <w:rPr>
          <w:rFonts w:ascii="Times New Roman"/>
          <w:color w:val="000000"/>
          <w:spacing w:val="0"/>
          <w:sz w:val="21"/>
        </w:rPr>
        <w:t>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BB95D7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配合物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1"/>
          <w:sz w:val="21"/>
        </w:rPr>
        <w:t>在光化学领域具有广泛的应用，为了探究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1"/>
          <w:sz w:val="21"/>
        </w:rPr>
        <w:t>原子邻位取代基对其稳定性的影响，设计实验如</w:t>
      </w:r>
    </w:p>
    <w:p w14:paraId="2581C82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下：</w:t>
      </w:r>
    </w:p>
    <w:p w14:paraId="2C871234">
      <w:pPr>
        <w:spacing w:before="28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Ⅰ．在氩气保护下，将</w:t>
      </w:r>
      <w:r>
        <w:rPr>
          <w:rFonts w:ascii="Times New Roman"/>
          <w:color w:val="000000"/>
          <w:spacing w:val="236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溶于</w:t>
      </w:r>
      <w:r>
        <w:rPr>
          <w:rFonts w:ascii="Times New Roman"/>
          <w:color w:val="000000"/>
          <w:spacing w:val="0"/>
          <w:sz w:val="21"/>
        </w:rPr>
        <w:t xml:space="preserve"> 4 mL </w:t>
      </w:r>
      <w:r>
        <w:rPr>
          <w:rFonts w:ascii="宋体" w:hAnsi="宋体" w:cs="宋体"/>
          <w:color w:val="000000"/>
          <w:spacing w:val="0"/>
          <w:sz w:val="21"/>
        </w:rPr>
        <w:t>除氧的二氯甲烷中，得到溶液；</w:t>
      </w:r>
    </w:p>
    <w:p w14:paraId="686CC970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Ⅱ．在氩气保护下，将</w:t>
      </w:r>
      <w:r>
        <w:rPr>
          <w:rFonts w:ascii="Times New Roman"/>
          <w:color w:val="000000"/>
          <w:spacing w:val="0"/>
          <w:sz w:val="21"/>
        </w:rPr>
        <w:t xml:space="preserve"> 44 mg </w:t>
      </w:r>
      <w:r>
        <w:rPr>
          <w:rFonts w:ascii="宋体" w:hAnsi="宋体" w:cs="宋体"/>
          <w:color w:val="000000"/>
          <w:spacing w:val="0"/>
          <w:sz w:val="21"/>
        </w:rPr>
        <w:t>配体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为异丙基，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为苄基）和</w:t>
      </w:r>
      <w:r>
        <w:rPr>
          <w:rFonts w:ascii="Times New Roman"/>
          <w:color w:val="000000"/>
          <w:spacing w:val="0"/>
          <w:sz w:val="21"/>
        </w:rPr>
        <w:t xml:space="preserve"> 4 mL </w:t>
      </w:r>
      <w:r>
        <w:rPr>
          <w:rFonts w:ascii="宋体" w:hAnsi="宋体" w:cs="宋体"/>
          <w:color w:val="000000"/>
          <w:spacing w:val="0"/>
          <w:sz w:val="21"/>
        </w:rPr>
        <w:t>除氧的二氯甲烷加入圆底烧瓶，</w:t>
      </w:r>
    </w:p>
    <w:p w14:paraId="1D3EC240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混合溶解后再加入步骤Ⅰ所得溶液；</w:t>
      </w:r>
    </w:p>
    <w:p w14:paraId="37DF62DB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Ⅲ．室温下搅拌，反应停止后，加入己烷，析出粗产品，纯化后得到暗橙色粉末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A67D3B1">
      <w:pPr>
        <w:spacing w:before="326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1D70FDF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）配合物</w:t>
      </w:r>
      <w:r>
        <w:rPr>
          <w:rFonts w:ascii="Times New Roman"/>
          <w:color w:val="000000"/>
          <w:spacing w:val="0"/>
          <w:sz w:val="21"/>
        </w:rPr>
        <w:t xml:space="preserve"> X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Cu</w:t>
      </w:r>
      <w:r>
        <w:rPr>
          <w:rFonts w:ascii="宋体" w:hAnsi="宋体" w:cs="宋体"/>
          <w:color w:val="000000"/>
          <w:spacing w:val="0"/>
          <w:sz w:val="21"/>
        </w:rPr>
        <w:t>（Ⅰ）的配位数为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9EDF17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）圆底烧瓶最合适的容量是</w:t>
      </w:r>
      <w:r>
        <w:rPr>
          <w:rFonts w:ascii="Times New Roman"/>
          <w:color w:val="000000"/>
          <w:spacing w:val="0"/>
          <w:sz w:val="21"/>
        </w:rPr>
        <w:t>________</w:t>
      </w:r>
      <w:r>
        <w:rPr>
          <w:rFonts w:ascii="宋体" w:hAnsi="宋体" w:cs="宋体"/>
          <w:color w:val="000000"/>
          <w:spacing w:val="-17"/>
          <w:sz w:val="21"/>
        </w:rPr>
        <w:t>（填标号）。</w:t>
      </w:r>
    </w:p>
    <w:p w14:paraId="04AD00E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10 mL</w:t>
      </w:r>
      <w:r>
        <w:rPr>
          <w:rFonts w:ascii="Times New Roman"/>
          <w:color w:val="000000"/>
          <w:spacing w:val="157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 25 mL</w:t>
      </w:r>
      <w:r>
        <w:rPr>
          <w:rFonts w:ascii="Times New Roman"/>
          <w:color w:val="000000"/>
          <w:spacing w:val="158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50 mL</w:t>
      </w:r>
      <w:r>
        <w:rPr>
          <w:rFonts w:ascii="Times New Roman"/>
          <w:color w:val="000000"/>
          <w:spacing w:val="158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100 mL</w:t>
      </w:r>
    </w:p>
    <w:p w14:paraId="04CDCAD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）步骤Ⅰ中，除氧的目的是</w:t>
      </w:r>
      <w:r>
        <w:rPr>
          <w:rFonts w:ascii="Times New Roman"/>
          <w:color w:val="000000"/>
          <w:spacing w:val="0"/>
          <w:sz w:val="21"/>
        </w:rPr>
        <w:t>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CD451E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）步骤Ⅲ中，不选择室温减压蒸馏，而选择加入己烷析晶，其优点是</w:t>
      </w:r>
    </w:p>
    <w:p w14:paraId="46304DA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362D5A7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的部分核磁共振氢谱图如下。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碳上的</w:t>
      </w:r>
      <w:r>
        <w:rPr>
          <w:rFonts w:ascii="Times New Roman"/>
          <w:color w:val="000000"/>
          <w:spacing w:val="0"/>
          <w:sz w:val="21"/>
        </w:rPr>
        <w:t xml:space="preserve"> H </w:t>
      </w:r>
      <w:r>
        <w:rPr>
          <w:rFonts w:ascii="宋体" w:hAnsi="宋体" w:cs="宋体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组峰，说明其化学环境存在差异，原因</w:t>
      </w:r>
    </w:p>
    <w:p w14:paraId="110364B3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是</w:t>
      </w:r>
    </w:p>
    <w:p w14:paraId="5B40E3E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</w:p>
    <w:p w14:paraId="7779980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D69B546">
      <w:pPr>
        <w:spacing w:before="260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B0B7DF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C73DCD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06DE549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AC7B09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11BEEE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31" o:spid="_x0000_s1157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32" o:spid="_x0000_s1158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33" o:spid="_x0000_s1159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34" o:spid="_x0000_s1160" o:spt="75" type="#_x0000_t75" style="position:absolute;left:0pt;margin-left:53pt;margin-top:72.55pt;height:237.6pt;width:284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2" o:title=""/>
            <o:lock v:ext="edit" aspectratio="t"/>
          </v:shape>
        </w:pict>
      </w:r>
      <w:r>
        <w:pict>
          <v:shape id="_x0000135" o:spid="_x0000_s1161" o:spt="75" type="#_x0000_t75" style="position:absolute;left:0pt;margin-left:268.35pt;margin-top:321.7pt;height:20pt;width:4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3" o:title=""/>
            <o:lock v:ext="edit" aspectratio="t"/>
          </v:shape>
        </w:pict>
      </w:r>
      <w:r>
        <w:pict>
          <v:shape id="_x0000136" o:spid="_x0000_s1162" o:spt="75" type="#_x0000_t75" style="position:absolute;left:0pt;margin-left:63.5pt;margin-top:352.45pt;height:20pt;width:4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4" o:title=""/>
            <o:lock v:ext="edit" aspectratio="t"/>
          </v:shape>
        </w:pict>
      </w:r>
      <w:r>
        <w:pict>
          <v:shape id="_x0000137" o:spid="_x0000_s1163" o:spt="75" type="#_x0000_t75" style="position:absolute;left:0pt;margin-left:53pt;margin-top:405.75pt;height:117.55pt;width:143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5" o:title=""/>
            <o:lock v:ext="edit" aspectratio="t"/>
          </v:shape>
        </w:pict>
      </w:r>
      <w:r>
        <w:pict>
          <v:shape id="_x0000138" o:spid="_x0000_s1164" o:spt="75" type="#_x0000_t75" style="position:absolute;left:0pt;margin-left:47pt;margin-top:525pt;height:239.1pt;width:341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宋体" w:hAnsi="宋体" w:cs="宋体"/>
          <w:color w:val="000000"/>
          <w:spacing w:val="0"/>
          <w:sz w:val="21"/>
        </w:rPr>
        <w:t>）选用不同取代基的配体，制备四种配合物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，分别溶于二氯甲烷，所得溶液中加入乙腈</w:t>
      </w:r>
    </w:p>
    <w:p w14:paraId="31DB4BD8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788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），测得配合物和乙腈二者平衡浓度的关系如图。综合所学分析图表，得出结论并说明理由</w:t>
      </w:r>
    </w:p>
    <w:p w14:paraId="284B2963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____________________________________________________________________________________________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62D5B15">
      <w:pPr>
        <w:spacing w:before="3926" w:after="0" w:line="220" w:lineRule="exact"/>
        <w:ind w:left="451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苄</w:t>
      </w:r>
      <w:r>
        <w:rPr>
          <w:rFonts w:ascii="Times New Roman"/>
          <w:color w:val="000000"/>
          <w:spacing w:val="155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</w:t>
      </w:r>
    </w:p>
    <w:p w14:paraId="53A76F93">
      <w:pPr>
        <w:spacing w:before="92" w:after="0" w:line="220" w:lineRule="exact"/>
        <w:ind w:left="225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异丙基</w:t>
      </w:r>
    </w:p>
    <w:p w14:paraId="28817D8C">
      <w:pPr>
        <w:spacing w:before="14" w:after="0" w:line="220" w:lineRule="exact"/>
        <w:ind w:left="451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3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2DDB2A1">
      <w:pPr>
        <w:spacing w:before="558" w:after="0" w:line="243" w:lineRule="exact"/>
        <w:ind w:left="225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叔丁基</w:t>
      </w:r>
      <w:r>
        <w:rPr>
          <w:rFonts w:ascii="Times New Roman"/>
          <w:color w:val="000000"/>
          <w:spacing w:val="0"/>
          <w:sz w:val="21"/>
        </w:rPr>
        <w:t>[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]</w:t>
      </w:r>
      <w:r>
        <w:rPr>
          <w:rFonts w:ascii="Times New Roman"/>
          <w:color w:val="000000"/>
          <w:spacing w:val="33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苄基</w:t>
      </w:r>
    </w:p>
    <w:p w14:paraId="52BE3B70">
      <w:pPr>
        <w:spacing w:before="558" w:after="0" w:line="220" w:lineRule="exact"/>
        <w:ind w:left="225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异丙基</w:t>
      </w:r>
      <w:r>
        <w:rPr>
          <w:rFonts w:ascii="Times New Roman"/>
          <w:color w:val="000000"/>
          <w:spacing w:val="1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苯基</w:t>
      </w:r>
    </w:p>
    <w:p w14:paraId="717C6D5A">
      <w:pPr>
        <w:spacing w:before="569" w:after="0" w:line="220" w:lineRule="exact"/>
        <w:ind w:left="225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叔丁基</w:t>
      </w:r>
      <w:r>
        <w:rPr>
          <w:rFonts w:ascii="Times New Roman"/>
          <w:color w:val="000000"/>
          <w:spacing w:val="15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苯基</w:t>
      </w:r>
    </w:p>
    <w:p w14:paraId="62B5FA57">
      <w:pPr>
        <w:spacing w:before="384" w:after="0" w:line="243" w:lineRule="exact"/>
        <w:ind w:left="411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FDD7BD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A88BDC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D89B5D2">
      <w:pPr>
        <w:sectPr>
          <w:pgSz w:w="11900" w:h="16840"/>
          <w:pgMar w:top="651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1C886E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36BBCE46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39" o:spid="_x0000_s1165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40" o:spid="_x0000_s1166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41" o:spid="_x0000_s1167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11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371" w:right="100" w:bottom="0" w:left="5191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204D5B69-ECDC-4BBC-B751-40B74B697A57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5D2FA3D6-856F-4ACB-8097-18269242508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FA25F54-27B6-4537-9843-71A0C844D02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64F7F628-CC65-4A6B-A502-76F237AC85F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FE6A3C78-2293-47D5-ABEE-94ACB6966CC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4F203E3E-CF20-4339-B415-B1604D73F4CD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0C6FD126-980D-45DC-87DC-ADD01F9A8E06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  <w:embedRegular r:id="rId8" w:fontKey="{EC3F4461-EE32-44F6-A2D1-42C1A0439B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01A6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29A8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8447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0C26069E"/>
    <w:rsid w:val="7F8E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jpeg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8" Type="http://schemas.openxmlformats.org/officeDocument/2006/relationships/fontTable" Target="fontTable.xml"/><Relationship Id="rId117" Type="http://schemas.openxmlformats.org/officeDocument/2006/relationships/customXml" Target="../customXml/item1.xml"/><Relationship Id="rId116" Type="http://schemas.openxmlformats.org/officeDocument/2006/relationships/image" Target="media/image106.jpeg"/><Relationship Id="rId115" Type="http://schemas.openxmlformats.org/officeDocument/2006/relationships/image" Target="media/image105.jpeg"/><Relationship Id="rId114" Type="http://schemas.openxmlformats.org/officeDocument/2006/relationships/image" Target="media/image104.jpeg"/><Relationship Id="rId113" Type="http://schemas.openxmlformats.org/officeDocument/2006/relationships/image" Target="media/image103.jpeg"/><Relationship Id="rId112" Type="http://schemas.openxmlformats.org/officeDocument/2006/relationships/image" Target="media/image102.jpeg"/><Relationship Id="rId111" Type="http://schemas.openxmlformats.org/officeDocument/2006/relationships/image" Target="media/image101.jpeg"/><Relationship Id="rId110" Type="http://schemas.openxmlformats.org/officeDocument/2006/relationships/image" Target="media/image100.jpeg"/><Relationship Id="rId11" Type="http://schemas.openxmlformats.org/officeDocument/2006/relationships/image" Target="media/image1.jpeg"/><Relationship Id="rId109" Type="http://schemas.openxmlformats.org/officeDocument/2006/relationships/image" Target="media/image99.jpeg"/><Relationship Id="rId108" Type="http://schemas.openxmlformats.org/officeDocument/2006/relationships/image" Target="media/image98.jpeg"/><Relationship Id="rId107" Type="http://schemas.openxmlformats.org/officeDocument/2006/relationships/image" Target="media/image97.jpeg"/><Relationship Id="rId106" Type="http://schemas.openxmlformats.org/officeDocument/2006/relationships/image" Target="media/image96.jpeg"/><Relationship Id="rId105" Type="http://schemas.openxmlformats.org/officeDocument/2006/relationships/image" Target="media/image95.jpeg"/><Relationship Id="rId104" Type="http://schemas.openxmlformats.org/officeDocument/2006/relationships/image" Target="media/image94.jpeg"/><Relationship Id="rId103" Type="http://schemas.openxmlformats.org/officeDocument/2006/relationships/image" Target="media/image93.jpeg"/><Relationship Id="rId102" Type="http://schemas.openxmlformats.org/officeDocument/2006/relationships/image" Target="media/image92.jpeg"/><Relationship Id="rId101" Type="http://schemas.openxmlformats.org/officeDocument/2006/relationships/image" Target="media/image91.jpeg"/><Relationship Id="rId100" Type="http://schemas.openxmlformats.org/officeDocument/2006/relationships/image" Target="media/image90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22</Pages>
  <Words>2634</Words>
  <Characters>3580</Characters>
  <Lines>0</Lines>
  <Paragraphs>153</Paragraphs>
  <TotalTime>3</TotalTime>
  <ScaleCrop>false</ScaleCrop>
  <LinksUpToDate>false</LinksUpToDate>
  <CharactersWithSpaces>3946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2026-06-24T14:03:00Z</dcterms:created>
  <dc:creator>Administrator</dc:creator>
  <cp:lastModifiedBy>上帝掷骰子吗</cp:lastModifiedBy>
  <dcterms:modified xsi:type="dcterms:W3CDTF">2026-09-18T16:48:51Z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C9FAAE083A154954B95C156C1FEA0FAC_12</vt:lpwstr>
  </property>
</Properties>
</file>