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A357DC">
      <w:pPr>
        <w:spacing w:before="0" w:after="0" w:line="325" w:lineRule="exact"/>
        <w:ind w:left="802" w:right="0" w:firstLine="0"/>
        <w:jc w:val="left"/>
        <w:rPr>
          <w:rFonts w:ascii="Times New Roman"/>
          <w:color w:val="000000"/>
          <w:spacing w:val="0"/>
          <w:sz w:val="32"/>
        </w:rPr>
      </w:pPr>
      <w:bookmarkStart w:id="0" w:name="br1"/>
      <w:bookmarkEnd w:id="0"/>
      <w:r>
        <w:pict>
          <v:shape id="_x0000_s1027" o:spid="_x0000_s1027" o:spt="75" type="#_x0000_t75" style="position:absolute;left:0pt;margin-left:404.15pt;margin-top:72.55pt;height:2.75pt;width:2.75pt;mso-position-horizontal-relative:page;mso-position-vertical-relative:page;z-index:-25163673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28" o:spid="_x0000_s1028" o:spt="75" type="#_x0000_t75" style="position:absolute;left:0pt;margin-left:47pt;margin-top:447pt;height:191.85pt;width:349.4pt;mso-position-horizontal-relative:page;mso-position-vertical-relative:page;z-index:-251637760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29" o:spid="_x0000_s1029" o:spt="75" type="#_x0000_t75" style="position:absolute;left:0pt;margin-left:116.8pt;margin-top:769.7pt;height:2.75pt;width:2.75pt;mso-position-horizontal-relative:page;mso-position-vertical-relative:page;z-index:-251638784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rPr>
          <w:rFonts w:ascii="宋体"/>
          <w:color w:val="000000"/>
          <w:spacing w:val="9"/>
          <w:sz w:val="32"/>
        </w:rPr>
        <w:t>2025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宋体" w:hAnsi="宋体" w:cs="宋体"/>
          <w:color w:val="000000"/>
          <w:spacing w:val="1"/>
          <w:sz w:val="32"/>
        </w:rPr>
        <w:t>年普通高中学业水平选择性考试（甘肃卷）历史试题</w:t>
      </w:r>
    </w:p>
    <w:p w14:paraId="272D89DF">
      <w:pPr>
        <w:spacing w:before="258" w:after="0" w:line="250" w:lineRule="exact"/>
        <w:ind w:left="274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本试卷满分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7"/>
          <w:sz w:val="24"/>
        </w:rPr>
        <w:t>100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2"/>
          <w:sz w:val="24"/>
        </w:rPr>
        <w:t>分，考试时间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7"/>
          <w:sz w:val="24"/>
        </w:rPr>
        <w:t>75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分钟。</w:t>
      </w:r>
    </w:p>
    <w:p w14:paraId="6787BECA">
      <w:pPr>
        <w:spacing w:before="218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一、选择题：本题共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宋体"/>
          <w:color w:val="000000"/>
          <w:spacing w:val="7"/>
          <w:sz w:val="24"/>
        </w:rPr>
        <w:t>16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2"/>
          <w:sz w:val="24"/>
        </w:rPr>
        <w:t>小题，每小题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宋体" w:hAnsi="宋体" w:cs="宋体"/>
          <w:color w:val="000000"/>
          <w:spacing w:val="4"/>
          <w:sz w:val="24"/>
        </w:rPr>
        <w:t>分，共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宋体"/>
          <w:color w:val="000000"/>
          <w:spacing w:val="7"/>
          <w:sz w:val="24"/>
        </w:rPr>
        <w:t>48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分。在每小题给出的四个选项中，只有一</w:t>
      </w:r>
    </w:p>
    <w:p w14:paraId="20F47290">
      <w:pPr>
        <w:spacing w:before="218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项是符合题目要求的。</w:t>
      </w:r>
    </w:p>
    <w:p w14:paraId="040FC22B">
      <w:pPr>
        <w:spacing w:before="22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晋南陶寺与陕北石峁是两个并存的区域性文明。据研究，陶寺中期的陶器类型与纹饰较其早期发生了显</w:t>
      </w:r>
    </w:p>
    <w:p w14:paraId="1F75341D">
      <w:pPr>
        <w:spacing w:before="232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著变化，反而与同时期石峁陶器特征更为接近。陶寺与石峁陶器的趋同表明（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166C8C2E">
      <w:pPr>
        <w:spacing w:before="24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石峁制陶技术取得突破</w:t>
      </w:r>
      <w:r>
        <w:rPr>
          <w:rFonts w:ascii="Times New Roman"/>
          <w:color w:val="000000"/>
          <w:spacing w:val="241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陶寺文明陷入衰落阶段</w:t>
      </w:r>
    </w:p>
    <w:p w14:paraId="4B62A53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区域之间文明交流加强</w:t>
      </w:r>
      <w:r>
        <w:rPr>
          <w:rFonts w:ascii="Times New Roman"/>
          <w:color w:val="000000"/>
          <w:spacing w:val="242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权贵阶层垄断陶器生产</w:t>
      </w:r>
    </w:p>
    <w:p w14:paraId="05C1274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张骞凿空西域，更多的西方物产传入中原。东汉灵帝颇爱胡食，令宫女在皇家苑囿西园开设饮食店，灵</w:t>
      </w:r>
    </w:p>
    <w:p w14:paraId="0E151808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帝扮作客商光顾，以为戏乐。可能出现在西园饮食店的是（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5ECF1C1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南瓜酥</w:t>
      </w:r>
      <w:r>
        <w:rPr>
          <w:rFonts w:ascii="Times New Roman"/>
          <w:color w:val="000000"/>
          <w:spacing w:val="144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玉米羹</w:t>
      </w:r>
      <w:r>
        <w:rPr>
          <w:rFonts w:ascii="Times New Roman"/>
          <w:color w:val="000000"/>
          <w:spacing w:val="145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芝麻饼</w:t>
      </w:r>
      <w:r>
        <w:rPr>
          <w:rFonts w:ascii="Times New Roman"/>
          <w:color w:val="000000"/>
          <w:spacing w:val="145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烤红薯</w:t>
      </w:r>
    </w:p>
    <w:p w14:paraId="43827FF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顾恺之《洛神赋图》的人物造型以“秀骨清像”为特色，通过衣带飘举、动态舒展来展现“翩若惊鸿，</w:t>
      </w:r>
    </w:p>
    <w:p w14:paraId="6BE03B9A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婉若游龙”的神韵。这一绘画风格主要反映了魏晋时期（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1B974BC7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绘画创作转向山水题材</w:t>
      </w:r>
      <w:r>
        <w:rPr>
          <w:rFonts w:ascii="Times New Roman"/>
          <w:color w:val="000000"/>
          <w:spacing w:val="241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士人审美追求神韵风骨</w:t>
      </w:r>
    </w:p>
    <w:p w14:paraId="4B8F138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佛教艺术风格占据主导</w:t>
      </w:r>
      <w:r>
        <w:rPr>
          <w:rFonts w:ascii="Times New Roman"/>
          <w:color w:val="000000"/>
          <w:spacing w:val="242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社会风气崇尚人物品评</w:t>
      </w:r>
    </w:p>
    <w:p w14:paraId="73794B7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从下表所载金世宗时交聘史事可知（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721A0C5">
      <w:pPr>
        <w:spacing w:before="32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时间</w:t>
      </w:r>
      <w:r>
        <w:rPr>
          <w:rFonts w:ascii="Times New Roman"/>
          <w:color w:val="000000"/>
          <w:spacing w:val="99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金</w:t>
      </w:r>
      <w:r>
        <w:rPr>
          <w:rFonts w:ascii="Times New Roman"/>
          <w:color w:val="000000"/>
          <w:spacing w:val="141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南宋</w:t>
      </w:r>
      <w:r>
        <w:rPr>
          <w:rFonts w:ascii="Times New Roman"/>
          <w:color w:val="000000"/>
          <w:spacing w:val="16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西夏</w:t>
      </w:r>
    </w:p>
    <w:p w14:paraId="737F741D">
      <w:pPr>
        <w:spacing w:before="399" w:after="0" w:line="234" w:lineRule="exact"/>
        <w:ind w:left="0" w:right="4165" w:firstLine="3151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遣使贺金正旦</w:t>
      </w:r>
      <w:r>
        <w:rPr>
          <w:rFonts w:ascii="Times New Roman"/>
          <w:color w:val="000000"/>
          <w:spacing w:val="7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遣使贺金正旦 大定二十年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遣贺宋生日使</w:t>
      </w:r>
    </w:p>
    <w:p w14:paraId="6F00D433">
      <w:pPr>
        <w:spacing w:before="0" w:after="0" w:line="234" w:lineRule="exact"/>
        <w:ind w:left="0" w:right="4165" w:firstLine="3151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遣使贺金万春节</w:t>
      </w:r>
      <w:r>
        <w:rPr>
          <w:rFonts w:ascii="Times New Roman"/>
          <w:color w:val="000000"/>
          <w:spacing w:val="57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遣使贺金万春 （1180）</w:t>
      </w:r>
      <w:r>
        <w:rPr>
          <w:rFonts w:ascii="Times New Roman"/>
          <w:color w:val="000000"/>
          <w:spacing w:val="57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遣贺夏生日使</w:t>
      </w:r>
    </w:p>
    <w:p w14:paraId="4D776AD2">
      <w:pPr>
        <w:spacing w:before="14" w:after="0" w:line="220" w:lineRule="exact"/>
        <w:ind w:left="315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（金世宗生辰）</w:t>
      </w:r>
      <w:r>
        <w:rPr>
          <w:rFonts w:ascii="Times New Roman"/>
          <w:color w:val="000000"/>
          <w:spacing w:val="57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节</w:t>
      </w:r>
    </w:p>
    <w:p w14:paraId="7BB71CDC">
      <w:pPr>
        <w:spacing w:before="41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大定二十九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遣使至宋报哀</w:t>
      </w:r>
      <w:r>
        <w:rPr>
          <w:rFonts w:ascii="Times New Roman"/>
          <w:color w:val="000000"/>
          <w:spacing w:val="246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遣使至金入奠</w:t>
      </w:r>
    </w:p>
    <w:p w14:paraId="10FD6F16">
      <w:pPr>
        <w:spacing w:before="14" w:after="0" w:line="220" w:lineRule="exact"/>
        <w:ind w:left="315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遣使至金吊祭</w:t>
      </w:r>
    </w:p>
    <w:p w14:paraId="076CF9F8">
      <w:pPr>
        <w:spacing w:before="0" w:after="0" w:line="23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年</w:t>
      </w:r>
      <w:r>
        <w:rPr>
          <w:rFonts w:ascii="Times New Roman"/>
          <w:color w:val="000000"/>
          <w:spacing w:val="12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遣使至宋贺即</w:t>
      </w:r>
      <w:r>
        <w:rPr>
          <w:rFonts w:ascii="Times New Roman"/>
          <w:color w:val="000000"/>
          <w:spacing w:val="246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遣使至金贺登</w:t>
      </w:r>
      <w:r>
        <w:rPr>
          <w:rFonts w:ascii="宋体" w:hAnsi="宋体" w:cs="宋体"/>
          <w:color w:val="000000"/>
          <w:spacing w:val="0"/>
          <w:sz w:val="21"/>
        </w:rPr>
        <w:cr/>
      </w:r>
      <w:r>
        <w:rPr>
          <w:rFonts w:ascii="Times New Roman"/>
          <w:color w:val="000000"/>
          <w:spacing w:val="309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遣使至金贺登位</w:t>
      </w:r>
    </w:p>
    <w:p w14:paraId="7DB1821E">
      <w:pPr>
        <w:spacing w:before="14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（1189）</w:t>
      </w:r>
      <w:r>
        <w:rPr>
          <w:rFonts w:ascii="Times New Roman"/>
          <w:color w:val="000000"/>
          <w:spacing w:val="57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位</w:t>
      </w:r>
      <w:r>
        <w:rPr>
          <w:rFonts w:ascii="Times New Roman"/>
          <w:color w:val="000000"/>
          <w:spacing w:val="351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位</w:t>
      </w:r>
    </w:p>
    <w:p w14:paraId="6AE53DE1">
      <w:pPr>
        <w:spacing w:before="79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金夏两国全面接受中原礼仪</w:t>
      </w:r>
      <w:r>
        <w:rPr>
          <w:rFonts w:ascii="Times New Roman"/>
          <w:color w:val="000000"/>
          <w:spacing w:val="199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三国之间经济文化交流频繁</w:t>
      </w:r>
    </w:p>
    <w:p w14:paraId="265466D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多民族政权并立呈交融趋势</w:t>
      </w:r>
      <w:r>
        <w:rPr>
          <w:rFonts w:ascii="Times New Roman"/>
          <w:color w:val="000000"/>
          <w:spacing w:val="200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南北对峙局面已经得到缓和</w:t>
      </w:r>
    </w:p>
    <w:p w14:paraId="033B995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4"/>
          <w:sz w:val="21"/>
        </w:rPr>
        <w:t>明朝一度厉行海禁，按照旧例，撒马尔罕入贡由甘肃验送。弘治二年（1489），撒马尔罕派遣使者从海道</w:t>
      </w:r>
    </w:p>
    <w:p w14:paraId="49F48E25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至广东，人贡狮子、鹦鹉等物，朝廷以其贡道不正，遣官阻回。明朝拒贡之举旨在（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1BFC363">
      <w:pPr>
        <w:spacing w:before="390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16197853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9BAD619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77E9077D">
      <w:pPr>
        <w:pStyle w:val="6"/>
        <w:sectPr>
          <w:headerReference r:id="rId6" w:type="first"/>
          <w:footerReference r:id="rId9" w:type="first"/>
          <w:headerReference r:id="rId4" w:type="default"/>
          <w:footerReference r:id="rId7" w:type="default"/>
          <w:headerReference r:id="rId5" w:type="even"/>
          <w:footerReference r:id="rId8" w:type="even"/>
          <w:pgSz w:w="11900" w:h="16840"/>
          <w:pgMar w:top="1474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6A640F43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FDB7850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1" w:name="br2"/>
      <w:bookmarkEnd w:id="1"/>
      <w:r>
        <w:pict>
          <v:shape id="_x0000_s1032" o:spid="_x0000_s1032" o:spt="75" type="#_x0000_t75" style="position:absolute;left:0pt;margin-left:404.15pt;margin-top:72.55pt;height:2.75pt;width:2.75pt;mso-position-horizontal-relative:page;mso-position-vertical-relative:page;z-index:-251639808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33" o:spid="_x0000_s1033" o:spt="75" type="#_x0000_t75" style="position:absolute;left:0pt;margin-left:212.1pt;margin-top:473.3pt;height:5.75pt;width:5pt;mso-position-horizontal-relative:page;mso-position-vertical-relative:page;z-index:-251640832;mso-width-relative:page;mso-height-relative:page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</v:shape>
        </w:pict>
      </w:r>
      <w:r>
        <w:pict>
          <v:shape id="_x0000_s1034" o:spid="_x0000_s1034" o:spt="75" type="#_x0000_t75" style="position:absolute;left:0pt;margin-left:116.8pt;margin-top:769.7pt;height:2.75pt;width:2.75pt;mso-position-horizontal-relative:page;mso-position-vertical-relative:page;z-index:-251641856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35" o:spid="_x0000_s1035" o:spt="75" type="#_x0000_t75" style="position:absolute;left:0pt;margin-left:59.8pt;margin-top:178.35pt;height:8.75pt;width:4.25pt;mso-position-horizontal-relative:page;mso-position-vertical-relative:page;z-index:-251642880;mso-width-relative:page;mso-height-relative:page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</v:shape>
        </w:pict>
      </w:r>
      <w:r>
        <w:pict>
          <v:shape id="_x0000_s1036" o:spid="_x0000_s1036" o:spt="75" type="#_x0000_t75" style="position:absolute;left:0pt;margin-left:53pt;margin-top:217.4pt;height:104.05pt;width:191.1pt;mso-position-horizontal-relative:page;mso-position-vertical-relative:page;z-index:-251643904;mso-width-relative:page;mso-height-relative:page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</v:shape>
        </w:pict>
      </w:r>
      <w:r>
        <w:pict>
          <v:shape id="_x0000_s1037" o:spid="_x0000_s1037" o:spt="75" type="#_x0000_t75" style="position:absolute;left:0pt;margin-left:171.55pt;margin-top:444.75pt;height:16.25pt;width:12.5pt;mso-position-horizontal-relative:page;mso-position-vertical-relative:page;z-index:-251644928;mso-width-relative:page;mso-height-relative:page;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强化边疆管理</w:t>
      </w:r>
      <w:r>
        <w:rPr>
          <w:rFonts w:ascii="Times New Roman"/>
          <w:color w:val="000000"/>
          <w:spacing w:val="81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减少朝贡频次</w:t>
      </w:r>
      <w:r>
        <w:rPr>
          <w:rFonts w:ascii="Times New Roman"/>
          <w:color w:val="000000"/>
          <w:spacing w:val="82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复兴丝路贸易</w:t>
      </w:r>
      <w:r>
        <w:rPr>
          <w:rFonts w:ascii="Times New Roman"/>
          <w:color w:val="000000"/>
          <w:spacing w:val="82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调整海禁政策</w:t>
      </w:r>
    </w:p>
    <w:p w14:paraId="42BAF47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康乾时期，浙江嘉兴府濮院镇“万家烟火，民多织作绸绢为生，为都省商贾往来之会”。镇中有桑叶市</w:t>
      </w:r>
    </w:p>
    <w:p w14:paraId="795699B9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场供桑农交易，有丝行专事收购四乡蚕农生丝，有绸行向当地机户收购绸绢。由此可知当时清朝（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22C3365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加强了对江南工商业的管理</w:t>
      </w:r>
      <w:r>
        <w:rPr>
          <w:rFonts w:ascii="Times New Roman"/>
          <w:color w:val="000000"/>
          <w:spacing w:val="199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外地商帮控制江南市镇贸易</w:t>
      </w:r>
    </w:p>
    <w:p w14:paraId="3E4FD820">
      <w:pPr>
        <w:spacing w:before="22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Times New Roman"/>
          <w:color w:val="000000"/>
          <w:spacing w:val="1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传统经济结构发生剧烈变动</w:t>
      </w:r>
      <w:r>
        <w:rPr>
          <w:rFonts w:ascii="Times New Roman"/>
          <w:color w:val="000000"/>
          <w:spacing w:val="200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市镇繁荣强化城乡经济联系</w:t>
      </w:r>
    </w:p>
    <w:p w14:paraId="738C9335">
      <w:pPr>
        <w:spacing w:before="38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下图为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1907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年的漫画，据图可知作者意在（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106D008D">
      <w:pPr>
        <w:spacing w:before="241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支持维新变法</w:t>
      </w:r>
      <w:r>
        <w:rPr>
          <w:rFonts w:ascii="Times New Roman"/>
          <w:color w:val="000000"/>
          <w:spacing w:val="81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倡导民族团结</w:t>
      </w:r>
      <w:r>
        <w:rPr>
          <w:rFonts w:ascii="Times New Roman"/>
          <w:color w:val="000000"/>
          <w:spacing w:val="82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警告西方列强</w:t>
      </w:r>
      <w:r>
        <w:rPr>
          <w:rFonts w:ascii="Times New Roman"/>
          <w:color w:val="000000"/>
          <w:spacing w:val="82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宣传民主革命</w:t>
      </w:r>
    </w:p>
    <w:p w14:paraId="369FD00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近代以来，谭嗣同、康有为、孙中山等人积极提倡向西方学习，同时又都阐述过“大同”理想。孙中山</w:t>
      </w:r>
    </w:p>
    <w:p w14:paraId="0E12854B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指出“真正的民生主义，就是孔子所希望之大同世界”。上述材料体现出（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9746143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大同思想是中华优秀文化的内涵</w:t>
      </w:r>
      <w:r>
        <w:rPr>
          <w:rFonts w:ascii="Times New Roman"/>
          <w:color w:val="000000"/>
          <w:spacing w:val="157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中体西用是近代中华文化的潮流</w:t>
      </w:r>
    </w:p>
    <w:p w14:paraId="73EFCED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中华文化的重要特征是民本思想</w:t>
      </w:r>
      <w:r>
        <w:rPr>
          <w:rFonts w:ascii="Times New Roman"/>
          <w:color w:val="000000"/>
          <w:spacing w:val="158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中华文化的特点是连续性包容性</w:t>
      </w:r>
    </w:p>
    <w:p w14:paraId="7B37714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9.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民族企业家刘鸿生创办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章华毛绒纺织厂，在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20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世纪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30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年代初连年亏损。后来企业推出品牌名为“九</w:t>
      </w:r>
    </w:p>
    <w:p w14:paraId="72FBED25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一八”的产品，国人竞相购买，企业立时恢复了生机。这一转变说明（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B8DB0FE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反帝爱国有助于民族工业发展</w:t>
      </w:r>
      <w:r>
        <w:rPr>
          <w:rFonts w:ascii="Times New Roman"/>
          <w:color w:val="000000"/>
          <w:spacing w:val="178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产品命名是国货畅销的主因</w:t>
      </w:r>
    </w:p>
    <w:p w14:paraId="2FD55F5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民族经济的发展需要抵制日货</w:t>
      </w:r>
      <w:r>
        <w:rPr>
          <w:rFonts w:ascii="Times New Roman"/>
          <w:color w:val="000000"/>
          <w:spacing w:val="179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民族企业引入新的经营方式</w:t>
      </w:r>
    </w:p>
    <w:p w14:paraId="209E080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10.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《人民日报》曾刊登《新年唱词》，反映了各阶级的心声。其中，工人说：工业建设顶重要，看谁今年</w:t>
      </w:r>
    </w:p>
    <w:p w14:paraId="521CD2E6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搞得棒；农民讲：反霸减租正推广，有田有地有余粮；百货店里胖掌柜想：人民购买力增强，通货不会太</w:t>
      </w:r>
    </w:p>
    <w:p w14:paraId="522CA1A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膨胀。上述唱词反映我国正在（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3675C8C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实施“一五”计划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巩固新生人民政权</w:t>
      </w:r>
      <w:r>
        <w:rPr>
          <w:rFonts w:ascii="Times New Roman"/>
          <w:color w:val="000000"/>
          <w:spacing w:val="40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进行“三大改造”</w:t>
      </w:r>
      <w:r>
        <w:rPr>
          <w:rFonts w:ascii="Times New Roman"/>
          <w:color w:val="000000"/>
          <w:spacing w:val="40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全面建设社会主义</w:t>
      </w:r>
    </w:p>
    <w:p w14:paraId="3ACDCA6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-4"/>
          <w:sz w:val="21"/>
        </w:rPr>
        <w:t>11.</w:t>
      </w:r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1989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年，我国国民生产总值比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1978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年增加了四倍多。1990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年北京亚运会期间，全国各地的名优新特产</w:t>
      </w:r>
    </w:p>
    <w:p w14:paraId="44480934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品来京展销，花色品种逾万，几十个国家和地区的十余万游客云集争购。这些经济现象表明当时我国（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6623DFF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践行了社会主义初级阶段理论</w:t>
      </w:r>
      <w:r>
        <w:rPr>
          <w:rFonts w:ascii="Times New Roman"/>
          <w:color w:val="000000"/>
          <w:spacing w:val="178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生产的商品极大丰富畅销全球</w:t>
      </w:r>
    </w:p>
    <w:p w14:paraId="409BDBF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更深层次参与经济全球化进程</w:t>
      </w:r>
      <w:r>
        <w:rPr>
          <w:rFonts w:ascii="Times New Roman"/>
          <w:color w:val="000000"/>
          <w:spacing w:val="179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建立了社会主义市场经济体制</w:t>
      </w:r>
    </w:p>
    <w:p w14:paraId="0F33581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公元前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8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至前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6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世纪，古希腊人的地理认知范围不断拓宽。起初他们将充满风暴和危险的黑海称为“不</w:t>
      </w:r>
    </w:p>
    <w:p w14:paraId="52DB82AC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好客海”，但随着航海技术发展，他们改称黑海为“好客海”。黑海称谓变化的深层次原因是占希腊（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B535D85">
      <w:pPr>
        <w:spacing w:before="120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6580165E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DADE439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2BFF3CEA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2" w:name="br3"/>
      <w:bookmarkEnd w:id="2"/>
      <w:r>
        <w:pict>
          <v:shape id="_x0000_s1040" o:spid="_x0000_s1040" o:spt="75" type="#_x0000_t75" style="position:absolute;left:0pt;margin-left:404.15pt;margin-top:72.55pt;height:2.75pt;width:2.75pt;mso-position-horizontal-relative:page;mso-position-vertical-relative:page;z-index:-251645952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41" o:spid="_x0000_s1041" o:spt="75" type="#_x0000_t75" style="position:absolute;left:0pt;margin-left:212.1pt;margin-top:473.3pt;height:5.75pt;width:5pt;mso-position-horizontal-relative:page;mso-position-vertical-relative:page;z-index:-251646976;mso-width-relative:page;mso-height-relative:page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</v:shape>
        </w:pict>
      </w:r>
      <w:r>
        <w:pict>
          <v:shape id="_x0000_s1042" o:spid="_x0000_s1042" o:spt="75" type="#_x0000_t75" style="position:absolute;left:0pt;margin-left:116.8pt;margin-top:769.7pt;height:2.75pt;width:2.75pt;mso-position-horizontal-relative:page;mso-position-vertical-relative:page;z-index:-251648000;mso-width-relative:page;mso-height-relative:page;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</v:shape>
        </w:pict>
      </w:r>
      <w:r>
        <w:pict>
          <v:shape id="_x0000_s1043" o:spid="_x0000_s1043" o:spt="75" type="#_x0000_t75" style="position:absolute;left:0pt;margin-left:166.3pt;margin-top:550.6pt;height:8pt;width:11.75pt;mso-position-horizontal-relative:page;mso-position-vertical-relative:page;z-index:-251649024;mso-width-relative:page;mso-height-relative:page;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殖民范围扩大</w:t>
      </w:r>
      <w:r>
        <w:rPr>
          <w:rFonts w:ascii="Times New Roman"/>
          <w:color w:val="000000"/>
          <w:spacing w:val="81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文化中心转移</w:t>
      </w:r>
      <w:r>
        <w:rPr>
          <w:rFonts w:ascii="Times New Roman"/>
          <w:color w:val="000000"/>
          <w:spacing w:val="82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奴隶贸易发达</w:t>
      </w:r>
      <w:r>
        <w:rPr>
          <w:rFonts w:ascii="Times New Roman"/>
          <w:color w:val="000000"/>
          <w:spacing w:val="82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国家统治稳固</w:t>
      </w:r>
    </w:p>
    <w:p w14:paraId="02D0634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研究指出：自亨利八世改革以来，英国新教与天主教争端不断，直至伊丽莎白一世时期，新教的统治地</w:t>
      </w:r>
    </w:p>
    <w:p w14:paraId="5DEAA785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位才彻底确立；在她治下出现了莎士比亚等诗人和剧作家，同时英国在音乐和哲学方面也达到了创新和活</w:t>
      </w:r>
    </w:p>
    <w:p w14:paraId="2704EE5C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力的顶峰。这一论述意在说明英国（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18B8636D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文学艺术发展受制于王权</w:t>
      </w:r>
      <w:r>
        <w:rPr>
          <w:rFonts w:ascii="Times New Roman"/>
          <w:color w:val="000000"/>
          <w:spacing w:val="220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市民文学与骑士文学充分发展</w:t>
      </w:r>
    </w:p>
    <w:p w14:paraId="6406E4B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国教会深受罗马教廷影响</w:t>
      </w:r>
      <w:r>
        <w:rPr>
          <w:rFonts w:ascii="Times New Roman"/>
          <w:color w:val="000000"/>
          <w:spacing w:val="221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宗教改革为文艺复兴作了铺垫</w:t>
      </w:r>
    </w:p>
    <w:p w14:paraId="7244AEA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14. </w:t>
      </w:r>
      <w:r>
        <w:rPr>
          <w:rFonts w:ascii="宋体"/>
          <w:color w:val="000000"/>
          <w:spacing w:val="0"/>
          <w:sz w:val="21"/>
        </w:rPr>
        <w:t>1588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年，为了防止百姓以武犯禁，日本太政大臣丰臣秀吉颁布了《刀狩令》，坚决禁止百姓持有刀、弓、</w:t>
      </w:r>
    </w:p>
    <w:p w14:paraId="0C8D43E8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枪等各种武器，所有国主、地方官应尽收民间各类武器上缴。法令施行后，佩带武器成为武士的特权，这</w:t>
      </w:r>
    </w:p>
    <w:p w14:paraId="36F3F59D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导致了（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F1902E3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武士集团形成</w:t>
      </w:r>
      <w:r>
        <w:rPr>
          <w:rFonts w:ascii="Times New Roman"/>
          <w:color w:val="000000"/>
          <w:spacing w:val="81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封建军事专制强化</w:t>
      </w:r>
      <w:r>
        <w:rPr>
          <w:rFonts w:ascii="Times New Roman"/>
          <w:color w:val="000000"/>
          <w:spacing w:val="40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天皇地位巩固</w:t>
      </w:r>
      <w:r>
        <w:rPr>
          <w:rFonts w:ascii="Times New Roman"/>
          <w:color w:val="000000"/>
          <w:spacing w:val="82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幕府集权统治建立</w:t>
      </w:r>
    </w:p>
    <w:p w14:paraId="443DD68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工业革命之前，人们的工作场所和家庭住所间没有明显界限，家庭成员往往从事相似的工作。工业革命</w:t>
      </w:r>
    </w:p>
    <w:p w14:paraId="222EB03E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后，随着工厂的兴起，在许多城市家庭中，丈夫需要早晚往返于工作场所和家庭住所之间，妻儿则待在家</w:t>
      </w:r>
    </w:p>
    <w:p w14:paraId="46D2229D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里。上述变化反映出（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156190AC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生产技术和专业水平的提高</w:t>
      </w:r>
      <w:r>
        <w:rPr>
          <w:rFonts w:ascii="Times New Roman"/>
          <w:color w:val="000000"/>
          <w:spacing w:val="199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居住条件和基础设施的改善</w:t>
      </w:r>
    </w:p>
    <w:p w14:paraId="65E2F9E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贫富分化和阶级差异的形成</w:t>
      </w:r>
      <w:r>
        <w:rPr>
          <w:rFonts w:ascii="Times New Roman"/>
          <w:color w:val="000000"/>
          <w:spacing w:val="200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生活空间和劳作方式的改变</w:t>
      </w:r>
    </w:p>
    <w:p w14:paraId="01E8F22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16. </w:t>
      </w:r>
      <w:r>
        <w:rPr>
          <w:rFonts w:ascii="宋体"/>
          <w:color w:val="000000"/>
          <w:spacing w:val="0"/>
          <w:sz w:val="21"/>
        </w:rPr>
        <w:t>1919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年，奥地利首都维也纳出现了燃料短缺。有学者写道：“维也纳的电灯忽明忽暗，电车停运，这都</w:t>
      </w:r>
    </w:p>
    <w:p w14:paraId="489FF9DF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2"/>
          <w:sz w:val="21"/>
        </w:rPr>
        <w:t>是因为原来从北方运来的煤炭现在大部分被一条新的国界挡住了。”这条“新国界”产生的直接原因是</w:t>
      </w:r>
    </w:p>
    <w:p w14:paraId="134AC93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B0473E4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德意志帝国建立</w:t>
      </w:r>
      <w:r>
        <w:rPr>
          <w:rFonts w:ascii="Times New Roman"/>
          <w:color w:val="000000"/>
          <w:spacing w:val="60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奥匈帝国解体</w:t>
      </w:r>
      <w:r>
        <w:rPr>
          <w:rFonts w:ascii="Times New Roman"/>
          <w:color w:val="000000"/>
          <w:spacing w:val="82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捷克斯洛伐克独立</w:t>
      </w:r>
      <w:r>
        <w:rPr>
          <w:rFonts w:ascii="Times New Roman"/>
          <w:color w:val="000000"/>
          <w:spacing w:val="40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波兰复国</w:t>
      </w:r>
    </w:p>
    <w:p w14:paraId="77616464">
      <w:pPr>
        <w:spacing w:before="222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二、非选择题：本题共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宋体" w:hAnsi="宋体" w:cs="宋体"/>
          <w:color w:val="000000"/>
          <w:spacing w:val="3"/>
          <w:sz w:val="24"/>
        </w:rPr>
        <w:t>小题，共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宋体"/>
          <w:color w:val="000000"/>
          <w:spacing w:val="7"/>
          <w:sz w:val="24"/>
        </w:rPr>
        <w:t>52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分。</w:t>
      </w:r>
    </w:p>
    <w:p w14:paraId="28F5AAF1">
      <w:pPr>
        <w:spacing w:before="27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阅读材料，回答问题</w:t>
      </w:r>
    </w:p>
    <w:p w14:paraId="4CCF5986">
      <w:pPr>
        <w:spacing w:before="337" w:after="0" w:line="220" w:lineRule="exact"/>
        <w:ind w:left="45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材料一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北魏为解决“地有余利，民无余财”的问题，推行均田制，一方面肯定耕者对现有耕地的使</w:t>
      </w:r>
    </w:p>
    <w:p w14:paraId="23CBB7BC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用权，另一方面让无地农民有权耕垦荒田。均田制的推行，使无主共比点在游空区银纯合，北它的自耕农</w:t>
      </w:r>
    </w:p>
    <w:p w14:paraId="164D1E2B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大为增多，有利于农业生产的恢复发展。</w:t>
      </w:r>
    </w:p>
    <w:p w14:paraId="2F812376">
      <w:pPr>
        <w:spacing w:before="248" w:after="0" w:line="220" w:lineRule="exact"/>
        <w:ind w:left="617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——摘编自《魏晋南北朝隋唐史三论》</w:t>
      </w:r>
    </w:p>
    <w:p w14:paraId="0CB7FE44">
      <w:pPr>
        <w:spacing w:before="248" w:after="0" w:line="220" w:lineRule="exact"/>
        <w:ind w:left="45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材料二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西魏北周时，宇文泰置府兵，募百姓充之，使地主武装逐步中央化。隋唐兵制，多袭北周旧</w:t>
      </w:r>
    </w:p>
    <w:p w14:paraId="16045318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制。府兵之制，无事耕于野，有事则命将以出，事解则兵散于府，将归于朝。隋唐府兵，虽未为最理想之</w:t>
      </w:r>
    </w:p>
    <w:p w14:paraId="33044CBF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制度，而国家统一与民族复兴，与府兵制度之施行有关。</w:t>
      </w:r>
    </w:p>
    <w:p w14:paraId="269E4CAD">
      <w:pPr>
        <w:spacing w:before="248" w:after="0" w:line="220" w:lineRule="exact"/>
        <w:ind w:left="680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——摘编自《府兵制度考释》等</w:t>
      </w:r>
    </w:p>
    <w:p w14:paraId="2EE7D073">
      <w:pPr>
        <w:spacing w:before="432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3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638AB395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5559229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2E55F632">
      <w:pPr>
        <w:pStyle w:val="6"/>
        <w:sectPr>
          <w:pgSz w:w="11900" w:h="16840"/>
          <w:pgMar w:top="144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4CBCB175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5" w:name="_GoBack"/>
      <w:bookmarkEnd w:id="5"/>
    </w:p>
    <w:p w14:paraId="3172FD27">
      <w:pPr>
        <w:spacing w:before="0" w:after="0" w:line="220" w:lineRule="exact"/>
        <w:ind w:left="45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3" w:name="br4"/>
      <w:bookmarkEnd w:id="3"/>
      <w:r>
        <w:pict>
          <v:shape id="_x0000_s1046" o:spid="_x0000_s1046" o:spt="75" type="#_x0000_t75" style="position:absolute;left:0pt;margin-left:404.15pt;margin-top:72.55pt;height:2.75pt;width:2.75pt;mso-position-horizontal-relative:page;mso-position-vertical-relative:page;z-index:-251650048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47" o:spid="_x0000_s1047" o:spt="75" type="#_x0000_t75" style="position:absolute;left:0pt;margin-left:212.1pt;margin-top:473.3pt;height:5.75pt;width:5pt;mso-position-horizontal-relative:page;mso-position-vertical-relative:page;z-index:-251651072;mso-width-relative:page;mso-height-relative:page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</v:shape>
        </w:pict>
      </w:r>
      <w:r>
        <w:pict>
          <v:shape id="_x0000_s1048" o:spid="_x0000_s1048" o:spt="75" type="#_x0000_t75" style="position:absolute;left:0pt;margin-left:116.8pt;margin-top:769.7pt;height:2.75pt;width:2.7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49" o:spid="_x0000_s1049" o:spt="75" type="#_x0000_t75" style="position:absolute;left:0pt;margin-left:320.9pt;margin-top:186.6pt;height:16.25pt;width:12.5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</v:shape>
        </w:pict>
      </w:r>
      <w:r>
        <w:rPr>
          <w:rFonts w:ascii="楷体" w:hAnsi="楷体" w:cs="楷体"/>
          <w:color w:val="000000"/>
          <w:spacing w:val="0"/>
          <w:sz w:val="21"/>
        </w:rPr>
        <w:t>材料三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隋炀帝始建进士科。唐制，取士之科，多因隋旧，大要有三：学馆生徒，州县乡贡，皆升于</w:t>
      </w:r>
    </w:p>
    <w:p w14:paraId="41B3F4CD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有司而进退之；科目有明经、进士等岁举之常选；天子自诏者曰制举，所以待非常之才焉。进士为时所尚</w:t>
      </w:r>
    </w:p>
    <w:p w14:paraId="4456B751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久矣，是故俊才实在其中。缙绅虽位极人臣，而不由进士者，终不为美。</w:t>
      </w:r>
    </w:p>
    <w:p w14:paraId="41E12AFD">
      <w:pPr>
        <w:spacing w:before="248" w:after="0" w:line="220" w:lineRule="exact"/>
        <w:ind w:left="743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——摘编自《新唐书》等</w:t>
      </w:r>
    </w:p>
    <w:p w14:paraId="27B7E363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）根据材料，概括北朝至唐初制度建设的主要创新点。</w:t>
      </w:r>
    </w:p>
    <w:p w14:paraId="452036F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）根据材料并结合所学，阐释制度沿革与隋唐国家治理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关系。</w:t>
      </w:r>
    </w:p>
    <w:p w14:paraId="1321C2A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阅读材料，回答问题。</w:t>
      </w:r>
    </w:p>
    <w:p w14:paraId="2E4CEC92">
      <w:pPr>
        <w:spacing w:before="237" w:after="0" w:line="220" w:lineRule="exact"/>
        <w:ind w:left="45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材料一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鸦片战争前后，一批爱国者看到外国入侵力量的胁迫，感到对祖国境内一些边疆地区，一些</w:t>
      </w:r>
    </w:p>
    <w:p w14:paraId="0D034072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少数民族，有进行深入研究的迫切需要，于是马上动手来弥补。</w:t>
      </w:r>
    </w:p>
    <w:p w14:paraId="470C255E">
      <w:pPr>
        <w:spacing w:before="248" w:after="0" w:line="220" w:lineRule="exact"/>
        <w:ind w:left="722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——摘编自《赵俪生文集》</w:t>
      </w:r>
    </w:p>
    <w:p w14:paraId="1945100B">
      <w:pPr>
        <w:spacing w:before="248" w:after="0" w:line="220" w:lineRule="exact"/>
        <w:ind w:left="45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九一八事变以后，国难日亟，边疆开发的呼声益甚嚣尘上，研究边疆之学术团体，亦如春笋怒生。全</w:t>
      </w:r>
    </w:p>
    <w:p w14:paraId="1C5EED17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国抗战爆发后，各学术机关相继迁至后方，并获得珍贵的边疆民族材料。</w:t>
      </w:r>
    </w:p>
    <w:p w14:paraId="5737B19C">
      <w:pPr>
        <w:spacing w:before="248" w:after="0" w:line="220" w:lineRule="exact"/>
        <w:ind w:left="722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——摘编自《边政公论》等</w:t>
      </w:r>
    </w:p>
    <w:p w14:paraId="102F598F">
      <w:pPr>
        <w:spacing w:before="248" w:after="0" w:line="220" w:lineRule="exact"/>
        <w:ind w:left="45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材料二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建设西北国防，保全西北领土，是开发西北最重大的目标。此外，就民生言，西北物产丰殷，</w:t>
      </w:r>
    </w:p>
    <w:p w14:paraId="618F3718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幅员广阔、开发可拓殖增产，使民安居乐业；就文化言，中国文化实由西北而东南，故欲研究固有之文化、</w:t>
      </w:r>
    </w:p>
    <w:p w14:paraId="0EC1C622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非积极开发西北不可；就民族言，西北民族庞杂，苟使交通便利，接触较多，自能融洽一致。</w:t>
      </w:r>
    </w:p>
    <w:p w14:paraId="47967D6A">
      <w:pPr>
        <w:spacing w:before="248" w:after="0" w:line="220" w:lineRule="exact"/>
        <w:ind w:left="6284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——摘编自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/>
          <w:color w:val="000000"/>
          <w:spacing w:val="0"/>
          <w:sz w:val="21"/>
        </w:rPr>
        <w:t>1932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年《新西北季刊》等</w:t>
      </w:r>
    </w:p>
    <w:p w14:paraId="0C9E4E12">
      <w:pPr>
        <w:spacing w:before="237" w:after="0" w:line="243" w:lineRule="exact"/>
        <w:ind w:left="45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1999 </w:t>
      </w:r>
      <w:r>
        <w:rPr>
          <w:rFonts w:ascii="楷体" w:hAnsi="楷体" w:cs="楷体"/>
          <w:color w:val="000000"/>
          <w:spacing w:val="0"/>
          <w:sz w:val="21"/>
        </w:rPr>
        <w:t>年，中共中央、国务院提出：西部大开发战略的提出和实施，有利于完善社会主义市场经济体制；</w:t>
      </w:r>
    </w:p>
    <w:p w14:paraId="75D894CB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有利于扩大国内需求；有利于改善全国的生态状况；有利于进一步扩大对外开放。此战略的实施关系到民</w:t>
      </w:r>
    </w:p>
    <w:p w14:paraId="27262DD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族团结、社会稳定和边防巩固，关系到东西部协调发展和最终实现共同富裕。</w:t>
      </w:r>
    </w:p>
    <w:p w14:paraId="44ABE641">
      <w:pPr>
        <w:spacing w:before="248" w:after="0" w:line="220" w:lineRule="exact"/>
        <w:ind w:left="5758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——摘编自《中华人民共和国六十年实录》</w:t>
      </w:r>
    </w:p>
    <w:p w14:paraId="07FBB44E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）根据材料一并结合所学，概述近代西北研究热出现的历史原因。</w:t>
      </w:r>
    </w:p>
    <w:p w14:paraId="49276C1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）根据材料并结合所学，分析近代以来不同时期国人对西北开发认知的异同。</w:t>
      </w:r>
    </w:p>
    <w:p w14:paraId="1D766BF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19.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阅读材料，回答问题。</w:t>
      </w:r>
    </w:p>
    <w:p w14:paraId="50F10F09">
      <w:pPr>
        <w:spacing w:before="226" w:after="0" w:line="243" w:lineRule="exact"/>
        <w:ind w:left="45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材料一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1890</w:t>
      </w:r>
      <w:r>
        <w:rPr>
          <w:rFonts w:ascii="Times New Roman"/>
          <w:color w:val="000000"/>
          <w:spacing w:val="-14"/>
          <w:sz w:val="21"/>
        </w:rPr>
        <w:t xml:space="preserve"> </w:t>
      </w:r>
      <w:r>
        <w:rPr>
          <w:rFonts w:ascii="楷体" w:hAnsi="楷体" w:cs="楷体"/>
          <w:color w:val="000000"/>
          <w:spacing w:val="-4"/>
          <w:sz w:val="21"/>
        </w:rPr>
        <w:t>年，美国议员麦金莱推动国会通过了新关税法，把平均税率提高到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42</w:t>
      </w:r>
      <w:r>
        <w:rPr>
          <w:rFonts w:ascii="楷体" w:hAnsi="楷体" w:cs="楷体"/>
          <w:color w:val="000000"/>
          <w:spacing w:val="-8"/>
          <w:sz w:val="21"/>
        </w:rPr>
        <w:t>%。但麦金莱于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1897</w:t>
      </w:r>
    </w:p>
    <w:p w14:paraId="1125C6D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年就任总统后，设立专门机构与欧美国家商讨互惠协定，并于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1901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年发表演讲指出“商业战争是不可能获</w:t>
      </w:r>
    </w:p>
    <w:p w14:paraId="11F0ACEC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利的，善意和友好贸易关系政策将避免报复行为，互惠条约与时代精神是一致的，报复措施则不是”。</w:t>
      </w:r>
    </w:p>
    <w:p w14:paraId="55275A14">
      <w:pPr>
        <w:spacing w:before="248" w:after="0" w:line="220" w:lineRule="exact"/>
        <w:ind w:left="5548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——摘编自《国家财富：美国贸易政治史》等</w:t>
      </w:r>
    </w:p>
    <w:p w14:paraId="7E12CECE">
      <w:pPr>
        <w:spacing w:before="237" w:after="0" w:line="243" w:lineRule="exact"/>
        <w:ind w:left="45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材料二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1930 </w:t>
      </w:r>
      <w:r>
        <w:rPr>
          <w:rFonts w:ascii="楷体" w:hAnsi="楷体" w:cs="楷体"/>
          <w:color w:val="000000"/>
          <w:spacing w:val="-4"/>
          <w:sz w:val="21"/>
        </w:rPr>
        <w:t>年，胡佛政府通过了《霍利-斯穆特关税法》，再度提高了</w:t>
      </w:r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1922 </w:t>
      </w:r>
      <w:r>
        <w:rPr>
          <w:rFonts w:ascii="楷体" w:hAnsi="楷体" w:cs="楷体"/>
          <w:color w:val="000000"/>
          <w:spacing w:val="0"/>
          <w:sz w:val="21"/>
        </w:rPr>
        <w:t>年《佛特尼-麦康伯法》</w:t>
      </w:r>
    </w:p>
    <w:p w14:paraId="128B7D2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规定的高关税，把农作物原料的平均税率提高到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48.92</w:t>
      </w:r>
      <w:r>
        <w:rPr>
          <w:rFonts w:ascii="楷体" w:hAnsi="楷体" w:cs="楷体"/>
          <w:color w:val="000000"/>
          <w:spacing w:val="0"/>
          <w:sz w:val="21"/>
        </w:rPr>
        <w:t>%，其他商品的税率提高到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34.3</w:t>
      </w:r>
      <w:r>
        <w:rPr>
          <w:rFonts w:ascii="楷体" w:hAnsi="楷体" w:cs="楷体"/>
          <w:color w:val="000000"/>
          <w:spacing w:val="-1"/>
          <w:sz w:val="21"/>
        </w:rPr>
        <w:t>%。其他国家则采取增</w:t>
      </w:r>
    </w:p>
    <w:p w14:paraId="2230A306">
      <w:pPr>
        <w:spacing w:before="108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4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6DFFEC8B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FF3869B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40FC771A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4" w:name="br5"/>
      <w:bookmarkEnd w:id="4"/>
      <w:r>
        <w:pict>
          <v:shape id="_x0000_s1052" o:spid="_x0000_s1052" o:spt="75" type="#_x0000_t75" style="position:absolute;left:0pt;margin-left:404.15pt;margin-top:72.55pt;height:2.75pt;width:2.7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53" o:spid="_x0000_s1053" o:spt="75" type="#_x0000_t75" style="position:absolute;left:0pt;margin-left:212.1pt;margin-top:473.3pt;height:5.75pt;width:5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</v:shape>
        </w:pict>
      </w:r>
      <w:r>
        <w:pict>
          <v:shape id="_x0000_s1054" o:spid="_x0000_s1054" o:spt="75" type="#_x0000_t75" style="position:absolute;left:0pt;margin-left:116.8pt;margin-top:769.7pt;height:2.75pt;width:2.75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</v:shape>
        </w:pict>
      </w:r>
      <w:r>
        <w:pict>
          <v:shape id="_x0000_s1055" o:spid="_x0000_s1055" o:spt="75" type="#_x0000_t75" style="position:absolute;left:0pt;margin-left:187.35pt;margin-top:269.9pt;height:8pt;width:11.75pt;mso-position-horizontal-relative:page;mso-position-vertical-relative:page;z-index:-251657216;mso-width-relative:page;mso-height-relative:page;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</v:shape>
        </w:pict>
      </w:r>
      <w:r>
        <w:rPr>
          <w:rFonts w:ascii="楷体" w:hAnsi="楷体" w:cs="楷体"/>
          <w:color w:val="000000"/>
          <w:spacing w:val="0"/>
          <w:sz w:val="21"/>
        </w:rPr>
        <w:t>加关税、实行定额进口和公开禁运等报复措施，美国进出口总额急剧下降，加速了经济衰退。</w:t>
      </w:r>
    </w:p>
    <w:p w14:paraId="615CA8B8">
      <w:pPr>
        <w:spacing w:before="248" w:after="0" w:line="220" w:lineRule="exact"/>
        <w:ind w:left="701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——摘编自《美国经济史》等</w:t>
      </w:r>
    </w:p>
    <w:p w14:paraId="60901002">
      <w:pPr>
        <w:spacing w:before="237" w:after="0" w:line="243" w:lineRule="exact"/>
        <w:ind w:left="45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材料三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1934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楷体" w:hAnsi="楷体" w:cs="楷体"/>
          <w:color w:val="000000"/>
          <w:spacing w:val="-5"/>
          <w:sz w:val="21"/>
        </w:rPr>
        <w:t>年“新政”期间，美国国会通过了《互惠贸易协定法》，规定总统在三年之内，可以不通</w:t>
      </w:r>
    </w:p>
    <w:p w14:paraId="70FD52F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过国会缔结贸易协定，有权提高或降低关税</w:t>
      </w:r>
      <w:r>
        <w:rPr>
          <w:rFonts w:ascii="Times New Roman"/>
          <w:color w:val="000000"/>
          <w:spacing w:val="0"/>
          <w:sz w:val="21"/>
        </w:rPr>
        <w:t xml:space="preserve"> 50</w:t>
      </w:r>
      <w:r>
        <w:rPr>
          <w:rFonts w:ascii="楷体" w:hAnsi="楷体" w:cs="楷体"/>
          <w:color w:val="000000"/>
          <w:spacing w:val="0"/>
          <w:sz w:val="21"/>
        </w:rPr>
        <w:t>%，从而迎来了贸易政策的新时代，美国与</w:t>
      </w:r>
      <w:r>
        <w:rPr>
          <w:rFonts w:ascii="Times New Roman"/>
          <w:color w:val="000000"/>
          <w:spacing w:val="0"/>
          <w:sz w:val="21"/>
        </w:rPr>
        <w:t xml:space="preserve"> 22 </w:t>
      </w:r>
      <w:r>
        <w:rPr>
          <w:rFonts w:ascii="楷体" w:hAnsi="楷体" w:cs="楷体"/>
          <w:color w:val="000000"/>
          <w:spacing w:val="0"/>
          <w:sz w:val="21"/>
        </w:rPr>
        <w:t>个国家签署了</w:t>
      </w:r>
    </w:p>
    <w:p w14:paraId="7E60976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降低关税的贸易协定。据统计，从</w:t>
      </w:r>
      <w:r>
        <w:rPr>
          <w:rFonts w:ascii="Times New Roman"/>
          <w:color w:val="000000"/>
          <w:spacing w:val="0"/>
          <w:sz w:val="21"/>
        </w:rPr>
        <w:t xml:space="preserve"> 1934 </w:t>
      </w:r>
      <w:r>
        <w:rPr>
          <w:rFonts w:ascii="楷体" w:hAnsi="楷体" w:cs="楷体"/>
          <w:color w:val="000000"/>
          <w:spacing w:val="0"/>
          <w:sz w:val="21"/>
        </w:rPr>
        <w:t>年到</w:t>
      </w:r>
      <w:r>
        <w:rPr>
          <w:rFonts w:ascii="Times New Roman"/>
          <w:color w:val="000000"/>
          <w:spacing w:val="0"/>
          <w:sz w:val="21"/>
        </w:rPr>
        <w:t xml:space="preserve"> 1937 </w:t>
      </w:r>
      <w:r>
        <w:rPr>
          <w:rFonts w:ascii="楷体" w:hAnsi="楷体" w:cs="楷体"/>
          <w:color w:val="000000"/>
          <w:spacing w:val="0"/>
          <w:sz w:val="21"/>
        </w:rPr>
        <w:t>年，美国出口额从</w:t>
      </w:r>
      <w:r>
        <w:rPr>
          <w:rFonts w:ascii="Times New Roman"/>
          <w:color w:val="000000"/>
          <w:spacing w:val="0"/>
          <w:sz w:val="21"/>
        </w:rPr>
        <w:t xml:space="preserve"> 21 </w:t>
      </w:r>
      <w:r>
        <w:rPr>
          <w:rFonts w:ascii="楷体" w:hAnsi="楷体" w:cs="楷体"/>
          <w:color w:val="000000"/>
          <w:spacing w:val="0"/>
          <w:sz w:val="21"/>
        </w:rPr>
        <w:t>亿美元增长到</w:t>
      </w:r>
      <w:r>
        <w:rPr>
          <w:rFonts w:ascii="Times New Roman"/>
          <w:color w:val="000000"/>
          <w:spacing w:val="0"/>
          <w:sz w:val="21"/>
        </w:rPr>
        <w:t xml:space="preserve"> 33 </w:t>
      </w:r>
      <w:r>
        <w:rPr>
          <w:rFonts w:ascii="楷体" w:hAnsi="楷体" w:cs="楷体"/>
          <w:color w:val="000000"/>
          <w:spacing w:val="0"/>
          <w:sz w:val="21"/>
        </w:rPr>
        <w:t>亿美元。</w:t>
      </w:r>
    </w:p>
    <w:p w14:paraId="68C75B51">
      <w:pPr>
        <w:spacing w:before="237" w:after="0" w:line="220" w:lineRule="exact"/>
        <w:ind w:left="3447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——摘编自《美国商贸政策的制度根源：政治、联盟与国际贸易》等</w:t>
      </w:r>
    </w:p>
    <w:p w14:paraId="5FB5AB47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）根据材料，概述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19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世纪末至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20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世纪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30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年代美国关税政策的演变。</w:t>
      </w:r>
    </w:p>
    <w:p w14:paraId="2D272EB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）根据材料并结合所学，总结国际贸易中应遵循的准则。</w:t>
      </w:r>
    </w:p>
    <w:p w14:paraId="73107F9A">
      <w:pPr>
        <w:spacing w:before="2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20.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阅读材料，完成下列要求</w:t>
      </w:r>
    </w:p>
    <w:p w14:paraId="3A138EB3">
      <w:pPr>
        <w:spacing w:before="337" w:after="0" w:line="220" w:lineRule="exact"/>
        <w:ind w:left="45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历史是客观真实的存在，对历史的研究和表述，则是历史研究者通过研究工作对客观历史的理解，是</w:t>
      </w:r>
    </w:p>
    <w:p w14:paraId="19DDB51B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主观同客观的结合。例如，西汉实施盐铁官营是客观的历史，但《史记》对此政策的批评则体现了司马迁</w:t>
      </w:r>
    </w:p>
    <w:p w14:paraId="3A71813D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的个人看法。同时，人们的认识会随着历史的发展而不断发展，同一历史对于不同时代有不同的意义。例</w:t>
      </w:r>
    </w:p>
    <w:p w14:paraId="1D30D55A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如，拿破仑在法国大革命时期被很多法国人誉为民族英雄，在波旁王朝复辟后又被一些人看作盗世奸雄，</w:t>
      </w:r>
    </w:p>
    <w:p w14:paraId="01856FF1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今天很多人则把他视为推进历史发展的重要人物。</w:t>
      </w:r>
    </w:p>
    <w:p w14:paraId="1C1C267E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7"/>
          <w:sz w:val="21"/>
        </w:rPr>
        <w:t>请结合所学知识，选取中外某一历史事件或人物，从上述一个或多个视角展开论述，并阐明自己的看法。（要</w:t>
      </w:r>
    </w:p>
    <w:p w14:paraId="08CC476D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求：自拟题目，观点正确，史论结合，逻辑严谨，结构宗散，表述清晰，不得抄袭示例）</w:t>
      </w:r>
    </w:p>
    <w:p w14:paraId="4C98BF88">
      <w:pPr>
        <w:spacing w:before="6519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sectPr>
      <w:pgSz w:w="11900" w:h="16840"/>
      <w:pgMar w:top="1452" w:right="100" w:bottom="0" w:left="1080" w:header="720" w:footer="720" w:gutter="0"/>
      <w:pgNumType w:start="1"/>
      <w:cols w:space="720" w:num="1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  <w:embedRegular r:id="rId1" w:fontKey="{5EA7CBAC-420E-45B6-99E1-9B49E70605C3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645D6B36-DDE5-41A4-B88D-8684EB2F14AE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AE577BFD-8398-41D9-AE6C-B56507A48791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4" w:fontKey="{91718D7C-106D-4B35-BE4A-297A2747E9A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5" w:fontKey="{82E4DB79-9308-41D2-81D3-E0704B35FC55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82686DD7-4632-4E42-AAD8-3A8FC19D7D99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7" w:fontKey="{F359AB23-A2C4-4EDA-B1EB-7E713A1D6286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8" w:fontKey="{6D08B33A-6035-4A65-9AC7-AA6003ABA02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AA66B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CA0A1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8F3ED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documentProtection w:enforcement="0"/>
  <w:defaultTabStop w:val="708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2D"/>
    <w:rsid w:val="00B06B85"/>
    <w:rsid w:val="00BA5B2D"/>
    <w:rsid w:val="1DB65072"/>
    <w:rsid w:val="6A38112B"/>
    <w:rsid w:val="782435E5"/>
    <w:rsid w:val="7EED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99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iPriority="99" w:name="Title"/>
    <w:lsdException w:uiPriority="99" w:name="Closing"/>
    <w:lsdException w:uiPriority="99" w:name="Signature"/>
    <w:lsdException w:qFormat="1" w:unhideWhenUsed="0" w:uiPriority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iPriority="99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qFormat="1" w:unhideWhenUsed="0" w:uiPriority="0" w:name="No Lis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5"/>
    <w:qFormat/>
    <w:uiPriority w:val="0"/>
    <w:pPr>
      <w:spacing w:before="120" w:after="240"/>
      <w:jc w:val="both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5">
    <w:name w:val="Default Paragraph Font"/>
    <w:link w:val="1"/>
    <w:semiHidden/>
    <w:qFormat/>
    <w:uiPriority w:val="0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6">
    <w:name w:val="No List"/>
    <w:semiHidden/>
    <w:qFormat/>
    <w:uiPriority w:val="0"/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9.jpeg"/><Relationship Id="rId18" Type="http://schemas.openxmlformats.org/officeDocument/2006/relationships/image" Target="media/image8.jpeg"/><Relationship Id="rId17" Type="http://schemas.openxmlformats.org/officeDocument/2006/relationships/image" Target="media/image7.jpeg"/><Relationship Id="rId16" Type="http://schemas.openxmlformats.org/officeDocument/2006/relationships/image" Target="media/image6.jpeg"/><Relationship Id="rId15" Type="http://schemas.openxmlformats.org/officeDocument/2006/relationships/image" Target="media/image5.jpeg"/><Relationship Id="rId14" Type="http://schemas.openxmlformats.org/officeDocument/2006/relationships/image" Target="media/image4.jpeg"/><Relationship Id="rId13" Type="http://schemas.openxmlformats.org/officeDocument/2006/relationships/image" Target="media/image3.jpeg"/><Relationship Id="rId12" Type="http://schemas.openxmlformats.org/officeDocument/2006/relationships/image" Target="media/image2.jpeg"/><Relationship Id="rId11" Type="http://schemas.openxmlformats.org/officeDocument/2006/relationships/image" Target="media/image1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7"/>
    <customShpInfo spid="_x0000_s1028"/>
    <customShpInfo spid="_x0000_s1029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40"/>
    <customShpInfo spid="_x0000_s1041"/>
    <customShpInfo spid="_x0000_s1042"/>
    <customShpInfo spid="_x0000_s1043"/>
    <customShpInfo spid="_x0000_s1046"/>
    <customShpInfo spid="_x0000_s1047"/>
    <customShpInfo spid="_x0000_s1048"/>
    <customShpInfo spid="_x0000_s1049"/>
    <customShpInfo spid="_x0000_s1052"/>
    <customShpInfo spid="_x0000_s1053"/>
    <customShpInfo spid="_x0000_s1054"/>
    <customShpInfo spid="_x0000_s105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Aspose</Company>
  <Pages>10</Pages>
  <Words>4002</Words>
  <Characters>4183</Characters>
  <Lines>1</Lines>
  <Paragraphs>133</Paragraphs>
  <TotalTime>3</TotalTime>
  <ScaleCrop>false</ScaleCrop>
  <LinksUpToDate>false</LinksUpToDate>
  <CharactersWithSpaces>4421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2025-07-01T12:09:00Z</dcterms:created>
  <dc:creator>Administrator</dc:creator>
  <cp:lastModifiedBy>上帝掷骰子吗</cp:lastModifiedBy>
  <dcterms:modified xsi:type="dcterms:W3CDTF">2026-02-10T06:55:24Z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55B8CBA3779C446781880BA3356BD18D_12</vt:lpwstr>
  </property>
</Properties>
</file>