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2EC45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机密★使用前</w:t>
      </w:r>
    </w:p>
    <w:p w14:paraId="6BE5AD9B">
      <w:pPr>
        <w:spacing w:before="243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2F7FA86D">
      <w:pPr>
        <w:spacing w:before="282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历史</w:t>
      </w:r>
    </w:p>
    <w:p w14:paraId="3EF0B037">
      <w:pPr>
        <w:spacing w:before="257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4AAB36E6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．答卷前，考生务必将自己的姓名、准考证号填写在答题卡上。</w:t>
      </w:r>
    </w:p>
    <w:p w14:paraId="106F3058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．回答选择题时，选出每小题答案后，用铅笔把答题卡上对应题目的答案标号涂黑。如需改</w:t>
      </w:r>
    </w:p>
    <w:p w14:paraId="77508575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动，用橡皮擦干净后，再选涂其他答案标号。回答非选择题时，将答案写在答题卡上。写在</w:t>
      </w:r>
    </w:p>
    <w:p w14:paraId="445C8BD9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本试卷上无效。</w:t>
      </w:r>
    </w:p>
    <w:p w14:paraId="6709AAC7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．考试结束后，将本试卷和答题卡一并交回。</w:t>
      </w:r>
    </w:p>
    <w:p w14:paraId="6CAB127E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4DBFA2FC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夏商时期，中原王朝逐渐兴起了“同衣服”制度，要求人民穿戴与自己身份相符合的服饰。西周时期，</w:t>
      </w:r>
    </w:p>
    <w:p w14:paraId="1D20C1E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这一制度在衣服材质、样式、色彩、配饰等方面规定更加严格，这表明我国夏商周时期（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A88E33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私有制确立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内外服制巩固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纺织业发达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等级观念强化</w:t>
      </w:r>
    </w:p>
    <w:p w14:paraId="3159072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战国至秦代，“尚战习武”之风盛行，“民闻战而相贺”；两汉时期，文化兴盛，但士人不抵制习武甚至</w:t>
      </w:r>
    </w:p>
    <w:p w14:paraId="0D4967E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文武兼通。南北朝时，习武被厌恶，武将子弟讳称“将门中人”。这种变化的主要原因是（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1328A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选官制度调整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奢靡之风日盛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社会秩序稳定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民族交融加深</w:t>
      </w:r>
    </w:p>
    <w:p w14:paraId="78D29FD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与秦汉时期田租征缴以九月为限不同，唐前期沿用南朝时期田租交赋以十二月为限的政策，并规定“若</w:t>
      </w:r>
    </w:p>
    <w:p w14:paraId="764BE73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无粟之乡，输稻麦，随熟即熟。”这是由于（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2FF624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土地兼并日益严重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高产作物不断推广</w:t>
      </w:r>
    </w:p>
    <w:p w14:paraId="1B32E27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南方地区得到开发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天文历法取得成果</w:t>
      </w:r>
    </w:p>
    <w:p w14:paraId="6D8F1A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据《宋史》记载，开宝六年（</w:t>
      </w:r>
      <w:r>
        <w:rPr>
          <w:rFonts w:ascii="Times New Roman"/>
          <w:color w:val="000000"/>
          <w:spacing w:val="0"/>
          <w:sz w:val="21"/>
        </w:rPr>
        <w:t>973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年），宋太祖驾临宰相赵普的府邸，撞见赵普收吴越王送来的书信及十</w:t>
      </w:r>
    </w:p>
    <w:p w14:paraId="34917A4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瓶礼物。太祖命赵普打开礼物，发现全是瓜子金，赵普惶恐谢罪，称尚未看信，实不知情。太祖叹曰：“受</w:t>
      </w:r>
    </w:p>
    <w:p w14:paraId="04C1047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之无妨，彼谓国家事皆出汝书生尔。”这件事使宋太祖采取的针对性措施是（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D54C0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调整中央权力结构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打击地方割据势力</w:t>
      </w:r>
    </w:p>
    <w:p w14:paraId="0CC9D8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加强国家财政监管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改革官员考核制度</w:t>
      </w:r>
    </w:p>
    <w:p w14:paraId="11C41F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明末清初思想家傅山批评士人“只在注脚中讨分晓”的做法，主张对诸子经典进行阐释发挥，甚至为此</w:t>
      </w:r>
    </w:p>
    <w:p w14:paraId="4CACDDC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有意曲解原文，如将《庄子》中“无为”二字分读，认为“无”指君主不以天下奉己，“为”指君主应以己</w:t>
      </w:r>
    </w:p>
    <w:p w14:paraId="5B225E7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奉天下。傅山意在（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EFD194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创新教化方式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丰富理学思想</w:t>
      </w:r>
    </w:p>
    <w:p w14:paraId="088B88E0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6BF95E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6347E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8773936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342F9A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E94CF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" o:spid="_x0000_s102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" o:spid="_x0000_s1030" o:spt="75" type="#_x0000_t75" style="position:absolute;left:0pt;margin-left:53pt;margin-top:450.75pt;height:122.8pt;width:24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5" o:spid="_x0000_s103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" o:spid="_x0000_s1032" o:spt="75" type="#_x0000_t75" style="position:absolute;left:0pt;margin-left:47pt;margin-top:111.55pt;height:128.0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推动士人转变治学风气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打造批判现实的思想武器</w:t>
      </w:r>
    </w:p>
    <w:p w14:paraId="129F70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如表所列为近代前期某一历史文献中的社会经济主张，它体现的是（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E8BA91A">
      <w:pPr>
        <w:spacing w:before="265" w:after="0" w:line="27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eiryo UI" w:hAnsi="Meiryo UI" w:cs="Meiryo UI"/>
          <w:color w:val="000000"/>
          <w:spacing w:val="19"/>
          <w:sz w:val="21"/>
        </w:rPr>
        <w:t>◯</w:t>
      </w:r>
      <w:r>
        <w:rPr>
          <w:rFonts w:ascii="宋体" w:hAnsi="宋体" w:cs="宋体"/>
          <w:color w:val="000000"/>
          <w:spacing w:val="3"/>
          <w:sz w:val="21"/>
        </w:rPr>
        <w:t>兴市镇公司，立官严正，以司工商水陆关税，每礼拜呈缴省郡县库存贮，或市镇公务</w:t>
      </w:r>
    </w:p>
    <w:p w14:paraId="1F61ABB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支用</w:t>
      </w:r>
    </w:p>
    <w:p w14:paraId="6AAF13ED">
      <w:pPr>
        <w:spacing w:before="186" w:after="0" w:line="27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eiryo UI" w:hAnsi="Meiryo UI" w:cs="Meiryo UI"/>
          <w:color w:val="000000"/>
          <w:spacing w:val="19"/>
          <w:sz w:val="21"/>
        </w:rPr>
        <w:t>◯</w:t>
      </w:r>
      <w:r>
        <w:rPr>
          <w:rFonts w:ascii="宋体" w:hAnsi="宋体" w:cs="宋体"/>
          <w:color w:val="000000"/>
          <w:spacing w:val="-3"/>
          <w:sz w:val="21"/>
        </w:rPr>
        <w:t>禁酒及一切生熟黄烟鸦片……绝其栽植之源，遏其传来之路，或于外洋入口之烟，不准</w:t>
      </w:r>
    </w:p>
    <w:p w14:paraId="5AC927A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过关</w:t>
      </w:r>
    </w:p>
    <w:p w14:paraId="56A66FB1">
      <w:pPr>
        <w:spacing w:before="186" w:after="0" w:line="27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Meiryo UI" w:hAnsi="Meiryo UI" w:cs="Meiryo UI"/>
          <w:color w:val="000000"/>
          <w:spacing w:val="19"/>
          <w:sz w:val="21"/>
        </w:rPr>
        <w:t>◯</w:t>
      </w:r>
      <w:r>
        <w:rPr>
          <w:rFonts w:ascii="宋体" w:hAnsi="宋体" w:cs="宋体"/>
          <w:color w:val="000000"/>
          <w:spacing w:val="-3"/>
          <w:sz w:val="21"/>
        </w:rPr>
        <w:t>除九流惰民不务正业……若每日无三个时辰工夫者，即富贵亦是惰民，准父兄乡老擒送</w:t>
      </w:r>
    </w:p>
    <w:p w14:paraId="59243EC6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魏源的“师夷长技以制夷”思想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洪仁玕的社会改革思想</w:t>
      </w:r>
    </w:p>
    <w:p w14:paraId="6962E87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张之洞的“自强”“求富”思想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康有为的维新变法思想</w:t>
      </w:r>
    </w:p>
    <w:p w14:paraId="666779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7. 1886 </w:t>
      </w:r>
      <w:r>
        <w:rPr>
          <w:rFonts w:ascii="宋体" w:hAnsi="宋体" w:cs="宋体"/>
          <w:color w:val="000000"/>
          <w:spacing w:val="-2"/>
          <w:sz w:val="21"/>
        </w:rPr>
        <w:t>年，《通商约章类纂》由北洋官书局刊印。该书将各条约内容分成不同条项，按照吏、户、礼、兵、</w:t>
      </w:r>
    </w:p>
    <w:p w14:paraId="17F1EF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刑、工六类重新排纂。</w:t>
      </w:r>
      <w:r>
        <w:rPr>
          <w:rFonts w:ascii="Times New Roman"/>
          <w:color w:val="000000"/>
          <w:spacing w:val="0"/>
          <w:sz w:val="21"/>
        </w:rPr>
        <w:t xml:space="preserve">1898 </w:t>
      </w:r>
      <w:r>
        <w:rPr>
          <w:rFonts w:ascii="宋体" w:hAnsi="宋体" w:cs="宋体"/>
          <w:color w:val="000000"/>
          <w:spacing w:val="0"/>
          <w:sz w:val="21"/>
        </w:rPr>
        <w:t>年，清政府将该书在全国推广，以备地方官吏参考。这反映出晚清中国（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EDE79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建立起近代外交制度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自觉融入国际社会</w:t>
      </w:r>
    </w:p>
    <w:p w14:paraId="3C47E7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外交官员专业化程度提高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地方涉外事务日趋繁杂</w:t>
      </w:r>
    </w:p>
    <w:p w14:paraId="5B03AB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1901—1921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年在海关登记的中国轮船数量统计图。与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1"/>
        </w:rPr>
        <w:t>1901—1911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年相比，</w:t>
      </w:r>
      <w:r>
        <w:rPr>
          <w:rFonts w:ascii="Times New Roman"/>
          <w:color w:val="000000"/>
          <w:spacing w:val="0"/>
          <w:sz w:val="21"/>
        </w:rPr>
        <w:t>1912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年后增长趋势出</w:t>
      </w:r>
    </w:p>
    <w:p w14:paraId="3344E74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现明显变化，其原因是（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A0228AC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国内政治局势稳定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政府收回了航运主权</w:t>
      </w:r>
    </w:p>
    <w:p w14:paraId="12FAF85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企业经营环境得到改善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民族工业摆脱了西方控制</w:t>
      </w:r>
    </w:p>
    <w:p w14:paraId="28B4BB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Times New Roman" w:hAnsi="Times New Roman" w:cs="Times New Roman"/>
          <w:color w:val="000000"/>
          <w:spacing w:val="0"/>
          <w:sz w:val="21"/>
        </w:rPr>
        <w:t>1923—1924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年，清华学校（清华大学前身）先后对三批学生的职业兴趣进行调查。调查结果显示，学生</w:t>
      </w:r>
    </w:p>
    <w:p w14:paraId="47B60A5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对“办公职”“社会改革者”“工程师”“农家”“教员”等职业兴趣很高，而对“银行家”“官吏”等</w:t>
      </w:r>
    </w:p>
    <w:p w14:paraId="5590291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职业兴趣不大。这反映出青年学生（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B5EE17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以追求个性自我作为择业原则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投身社会改造运动的热情高涨</w:t>
      </w:r>
    </w:p>
    <w:p w14:paraId="3BCE6F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致力于资产阶级民主政治改革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与工农运动结合的自觉性提高</w:t>
      </w:r>
    </w:p>
    <w:p w14:paraId="2E1E95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1944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年晋绥地区编印的《冬学识字课本》第二十七课（图中文字做了繁简转换处理）。编写本课</w:t>
      </w:r>
    </w:p>
    <w:p w14:paraId="1621CD2B">
      <w:pPr>
        <w:spacing w:before="24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2AC0A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95E56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E46D4D4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9B6260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CD34A2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92.8pt;height:181.35pt;width:16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1" o:spid="_x0000_s1037" o:spt="75" type="#_x0000_t75" style="position:absolute;left:0pt;margin-left:53pt;margin-top:585.05pt;height:101.05pt;width:130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的目的是（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9C8034B">
      <w:pPr>
        <w:spacing w:before="39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推动减租减息运动开展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整顿根据地的金融秩序</w:t>
      </w:r>
    </w:p>
    <w:p w14:paraId="508B61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提高民众抗日生产的积极性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进行社会主义合作化实践</w:t>
      </w:r>
    </w:p>
    <w:p w14:paraId="28DE51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1978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年之前，我国报纸的经济新闻报道集中在工业学大庆、农业学大寨、增产丰收等方面。十一届三中</w:t>
      </w:r>
    </w:p>
    <w:p w14:paraId="55D1C1E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全会后，许多报纸开设市场专栏，辟有“新橱窗”“名产录”“消费者反应”“经营之道”“商品知识”</w:t>
      </w:r>
    </w:p>
    <w:p w14:paraId="450C962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“国际贸易”等专题。这种变化表明我国（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E866B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确立了现代企业制度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经济体制改革逐步推进</w:t>
      </w:r>
    </w:p>
    <w:p w14:paraId="4228DC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建立了社会主义市场经济体制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全方位对外开放格局形成</w:t>
      </w:r>
    </w:p>
    <w:p w14:paraId="30FE6B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继希腊在古罗马社会政治生活中发挥着重要作用。共和制时期，雄辩术的主要内容是社会现实问题；帝</w:t>
      </w:r>
    </w:p>
    <w:p w14:paraId="783AECB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国早期，脱离现实的华丽题辞也成为讨论内容；帝国后期，雄辩术的内容流于空泛，一味追求词汇的丰富</w:t>
      </w:r>
    </w:p>
    <w:p w14:paraId="1B4FC12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和形式的华丽。这一变化的原因是（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E14173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法律体系趋于完备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政治体制发生转变</w:t>
      </w:r>
    </w:p>
    <w:p w14:paraId="6D2C4C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社会矛盾逐渐缓和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奴隶制度日渐稳固</w:t>
      </w:r>
    </w:p>
    <w:p w14:paraId="08036A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如图为</w:t>
      </w:r>
      <w:r>
        <w:rPr>
          <w:rFonts w:ascii="Times New Roman"/>
          <w:color w:val="000000"/>
          <w:spacing w:val="0"/>
          <w:sz w:val="21"/>
        </w:rPr>
        <w:t xml:space="preserve"> 13 </w:t>
      </w:r>
      <w:r>
        <w:rPr>
          <w:rFonts w:ascii="宋体" w:hAnsi="宋体" w:cs="宋体"/>
          <w:color w:val="000000"/>
          <w:spacing w:val="0"/>
          <w:sz w:val="21"/>
        </w:rPr>
        <w:t>世纪末人口超过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万的欧洲城市分布示意图。这表明当时欧洲（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4E903C2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工商业经济发展不平衡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商业贸易中心发生转移</w:t>
      </w:r>
    </w:p>
    <w:p w14:paraId="6B1DCF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庄园经济解体速度加快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王权对城市的控制加强</w:t>
      </w:r>
    </w:p>
    <w:p w14:paraId="1830C5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如图为</w:t>
      </w:r>
      <w:r>
        <w:rPr>
          <w:rFonts w:ascii="Times New Roman"/>
          <w:color w:val="000000"/>
          <w:spacing w:val="0"/>
          <w:sz w:val="21"/>
        </w:rPr>
        <w:t xml:space="preserve"> 1898 </w:t>
      </w:r>
      <w:r>
        <w:rPr>
          <w:rFonts w:ascii="宋体" w:hAnsi="宋体" w:cs="宋体"/>
          <w:color w:val="000000"/>
          <w:spacing w:val="0"/>
          <w:sz w:val="21"/>
        </w:rPr>
        <w:t>年美国漫画家查尔斯·格兰·创造的一幅政治漫画。该漫画的创作背景是（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028DC98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84A78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B8A0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589663D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395D7B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EFD0A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2" o:spid="_x0000_s103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3" o:spid="_x0000_s1039" o:spt="75" type="#_x0000_t75" style="position:absolute;left:0pt;margin-left:53pt;margin-top:359.2pt;height:131.85pt;width:223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4" o:spid="_x0000_s104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5" o:spid="_x0000_s1041" o:spt="75" type="#_x0000_t75" style="position:absolute;left:0pt;margin-left:53pt;margin-top:66.55pt;height:170.85pt;width:174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美、德崛起为新的强权国家</w:t>
      </w:r>
    </w:p>
    <w:p w14:paraId="72DE647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美国确立了争夺世界领导权的目标</w:t>
      </w:r>
    </w:p>
    <w:p w14:paraId="6DE2A2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商品输出成为列强殖民掠夺的主要方式</w:t>
      </w:r>
    </w:p>
    <w:p w14:paraId="66B79A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美德矛盾成为帝国主义国家间的主要矛盾</w:t>
      </w:r>
    </w:p>
    <w:p w14:paraId="395DC0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1960—1990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年英国出口贸易总额中分地区占比（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宋体" w:hAnsi="宋体" w:cs="宋体"/>
          <w:color w:val="000000"/>
          <w:spacing w:val="0"/>
          <w:sz w:val="21"/>
        </w:rPr>
        <w:t>）的情况。这反映出（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293674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第三世界崛起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欧美一体化程度加强</w:t>
      </w:r>
    </w:p>
    <w:p w14:paraId="3EDADB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区域一体化程度加强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世界殖民体系走向瓦解</w:t>
      </w:r>
    </w:p>
    <w:p w14:paraId="4FF04F1E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5C261730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4B6D34F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黄河中游的森林变迁</w:t>
      </w:r>
    </w:p>
    <w:p w14:paraId="3B457AD9">
      <w:pPr>
        <w:spacing w:before="324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B4161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E5DE0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089F04D">
      <w:pPr>
        <w:sectPr>
          <w:pgSz w:w="11900" w:h="16840"/>
          <w:pgMar w:top="48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7A4E3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491D97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6" o:spid="_x0000_s1042" o:spt="75" type="#_x0000_t75" style="position:absolute;left:0pt;margin-left:53pt;margin-top:69.55pt;height:305.95pt;width:36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7" o:spid="_x0000_s1043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8" o:spid="_x0000_s104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9" o:spid="_x0000_s1045" o:spt="75" type="#_x0000_t75" style="position:absolute;left:0pt;margin-left:47pt;margin-top:540.75pt;height:176.1pt;width:462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指出材料反映的现象，并结合所学历史知识概括其形成的原因和影响。</w:t>
      </w:r>
    </w:p>
    <w:p w14:paraId="5751E4B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02B48041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程家排日账：一个普通农户的生计</w:t>
      </w:r>
    </w:p>
    <w:p w14:paraId="46FECBC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排日账是清代主要流行于婺源地区的一种民间“账簿”，逐日记录记账者一家的收支与日常行事，包</w:t>
      </w:r>
    </w:p>
    <w:p w14:paraId="30ADA55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含丰富的社会生活信息。“程家排日账”为当地一程姓农户祖孙三代所记，始于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1838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年，止于</w:t>
      </w:r>
      <w:r>
        <w:rPr>
          <w:rFonts w:ascii="Times New Roman"/>
          <w:color w:val="000000"/>
          <w:spacing w:val="0"/>
          <w:sz w:val="21"/>
        </w:rPr>
        <w:t xml:space="preserve"> 1901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年（有</w:t>
      </w:r>
    </w:p>
    <w:p w14:paraId="3CB4F1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5"/>
          <w:sz w:val="21"/>
        </w:rPr>
        <w:t>年份空缺）。表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楷体" w:hAnsi="楷体" w:cs="楷体"/>
          <w:color w:val="000000"/>
          <w:spacing w:val="0"/>
          <w:sz w:val="21"/>
        </w:rPr>
        <w:t>、表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楷体" w:hAnsi="楷体" w:cs="楷体"/>
          <w:color w:val="000000"/>
          <w:spacing w:val="0"/>
          <w:sz w:val="21"/>
        </w:rPr>
        <w:t>是为研究程家生计情况编制的两份统计表。</w:t>
      </w:r>
    </w:p>
    <w:p w14:paraId="01A4A2F3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表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程家生计行事汇总</w:t>
      </w:r>
    </w:p>
    <w:p w14:paraId="492F342A">
      <w:pPr>
        <w:spacing w:before="316" w:after="0" w:line="243" w:lineRule="exact"/>
        <w:ind w:left="13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1838—1858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1872—1883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1884—1901</w:t>
      </w:r>
      <w:r>
        <w:rPr>
          <w:rFonts w:ascii="Times New Roman"/>
          <w:color w:val="000000"/>
          <w:spacing w:val="128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合计</w:t>
      </w:r>
    </w:p>
    <w:p w14:paraId="73F1C8DD">
      <w:pPr>
        <w:spacing w:before="0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生计活</w:t>
      </w:r>
    </w:p>
    <w:p w14:paraId="2B486F3C">
      <w:pPr>
        <w:spacing w:before="248" w:after="0" w:line="220" w:lineRule="exact"/>
        <w:ind w:left="2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动</w:t>
      </w:r>
    </w:p>
    <w:p w14:paraId="41AF10BE">
      <w:pPr>
        <w:spacing w:before="0" w:after="0" w:line="243" w:lineRule="exact"/>
        <w:ind w:left="100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劳动日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劳动日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劳动日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劳动日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%</w:t>
      </w:r>
    </w:p>
    <w:p w14:paraId="534A8BA0">
      <w:pPr>
        <w:spacing w:before="402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粮食种</w:t>
      </w:r>
    </w:p>
    <w:p w14:paraId="537D8183">
      <w:pPr>
        <w:spacing w:before="7" w:after="0" w:line="239" w:lineRule="exact"/>
        <w:ind w:left="239" w:right="1874" w:firstLine="84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855.5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28.48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2646.5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45.01</w:t>
      </w:r>
      <w:r>
        <w:rPr>
          <w:rFonts w:ascii="Times New Roman"/>
          <w:color w:val="000000"/>
          <w:spacing w:val="5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1500</w:t>
      </w:r>
      <w:r>
        <w:rPr>
          <w:rFonts w:ascii="Times New Roman"/>
          <w:color w:val="000000"/>
          <w:spacing w:val="5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40.00</w:t>
      </w:r>
      <w:r>
        <w:rPr>
          <w:rFonts w:ascii="Times New Roman"/>
          <w:color w:val="000000"/>
          <w:spacing w:val="5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5002</w:t>
      </w:r>
      <w:r>
        <w:rPr>
          <w:rFonts w:ascii="Times New Roman"/>
          <w:color w:val="000000"/>
          <w:spacing w:val="5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39.59 </w:t>
      </w:r>
      <w:r>
        <w:rPr>
          <w:rFonts w:ascii="楷体" w:hAnsi="楷体" w:cs="楷体"/>
          <w:color w:val="000000"/>
          <w:spacing w:val="0"/>
          <w:sz w:val="21"/>
        </w:rPr>
        <w:t>植</w:t>
      </w:r>
    </w:p>
    <w:p w14:paraId="3F3DE87C">
      <w:pPr>
        <w:spacing w:before="413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茶叶生</w:t>
      </w:r>
    </w:p>
    <w:p w14:paraId="7C6C9E37">
      <w:pPr>
        <w:spacing w:before="7" w:after="0" w:line="239" w:lineRule="exact"/>
        <w:ind w:left="239" w:right="1874" w:firstLine="92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413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13.75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739.5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12.58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674</w:t>
      </w:r>
      <w:r>
        <w:rPr>
          <w:rFonts w:ascii="Times New Roman"/>
          <w:color w:val="000000"/>
          <w:spacing w:val="5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17.973</w:t>
      </w:r>
      <w:r>
        <w:rPr>
          <w:rFonts w:ascii="Times New Roman"/>
          <w:color w:val="000000"/>
          <w:spacing w:val="4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1826.5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14.46 </w:t>
      </w:r>
      <w:r>
        <w:rPr>
          <w:rFonts w:ascii="楷体" w:hAnsi="楷体" w:cs="楷体"/>
          <w:color w:val="000000"/>
          <w:spacing w:val="0"/>
          <w:sz w:val="21"/>
        </w:rPr>
        <w:t>产</w:t>
      </w:r>
    </w:p>
    <w:p w14:paraId="7AD8559B">
      <w:pPr>
        <w:spacing w:before="125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C8F5F7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8B395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4F1B96">
      <w:pPr>
        <w:sectPr>
          <w:pgSz w:w="11900" w:h="16840"/>
          <w:pgMar w:top="7695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62C1F8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F2B880">
      <w:pPr>
        <w:spacing w:before="0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0" o:spid="_x0000_s1046" o:spt="75" type="#_x0000_t75" style="position:absolute;left:0pt;margin-left:47pt;margin-top:65.05pt;height:451.5pt;width:462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1" o:spid="_x0000_s10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2" o:spid="_x0000_s1048" o:spt="75" type="#_x0000_t75" style="position:absolute;left:0pt;margin-left:47pt;margin-top:537.75pt;height:199.3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燃料采</w:t>
      </w:r>
    </w:p>
    <w:p w14:paraId="1FFE58A8">
      <w:pPr>
        <w:spacing w:before="7" w:after="0" w:line="239" w:lineRule="exact"/>
        <w:ind w:left="239" w:right="1874" w:firstLine="84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265.5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8.84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819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13.93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582.5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15.533</w:t>
      </w:r>
      <w:r>
        <w:rPr>
          <w:rFonts w:ascii="Times New Roman"/>
          <w:color w:val="000000"/>
          <w:spacing w:val="4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1667</w:t>
      </w:r>
      <w:r>
        <w:rPr>
          <w:rFonts w:ascii="Times New Roman"/>
          <w:color w:val="000000"/>
          <w:spacing w:val="5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13.20 </w:t>
      </w:r>
      <w:r>
        <w:rPr>
          <w:rFonts w:ascii="楷体" w:hAnsi="楷体" w:cs="楷体"/>
          <w:color w:val="000000"/>
          <w:spacing w:val="0"/>
          <w:sz w:val="21"/>
        </w:rPr>
        <w:t>集</w:t>
      </w:r>
    </w:p>
    <w:p w14:paraId="327C35A7">
      <w:pPr>
        <w:spacing w:before="402" w:after="0" w:line="243" w:lineRule="exact"/>
        <w:ind w:left="10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葛粉</w:t>
      </w:r>
      <w:r>
        <w:rPr>
          <w:rFonts w:ascii="Times New Roman"/>
          <w:color w:val="000000"/>
          <w:spacing w:val="0"/>
          <w:sz w:val="21"/>
        </w:rPr>
        <w:t>/</w:t>
      </w:r>
    </w:p>
    <w:p w14:paraId="00D83855">
      <w:pPr>
        <w:spacing w:before="226" w:after="0" w:line="243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黄精采</w:t>
      </w:r>
      <w:r>
        <w:rPr>
          <w:rFonts w:ascii="Times New Roman"/>
          <w:color w:val="000000"/>
          <w:spacing w:val="4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253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8.42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767.5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13.05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99.5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2.653</w:t>
      </w:r>
      <w:r>
        <w:rPr>
          <w:rFonts w:ascii="Times New Roman"/>
          <w:color w:val="000000"/>
          <w:spacing w:val="540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1120</w:t>
      </w:r>
      <w:r>
        <w:rPr>
          <w:rFonts w:ascii="Times New Roman"/>
          <w:color w:val="000000"/>
          <w:spacing w:val="5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8.86</w:t>
      </w:r>
    </w:p>
    <w:p w14:paraId="5F7C0B41">
      <w:pPr>
        <w:spacing w:before="237" w:after="0" w:line="220" w:lineRule="exact"/>
        <w:ind w:left="2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制</w:t>
      </w:r>
    </w:p>
    <w:p w14:paraId="0F71734F">
      <w:pPr>
        <w:spacing w:before="413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粮食买</w:t>
      </w:r>
    </w:p>
    <w:p w14:paraId="1B1FD92F">
      <w:pPr>
        <w:spacing w:before="7" w:after="0" w:line="239" w:lineRule="exact"/>
        <w:ind w:left="239" w:right="1927" w:firstLine="84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283.5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9.44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141.5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2.41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149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3.973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574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4.54 </w:t>
      </w:r>
      <w:r>
        <w:rPr>
          <w:rFonts w:ascii="楷体" w:hAnsi="楷体" w:cs="楷体"/>
          <w:color w:val="000000"/>
          <w:spacing w:val="0"/>
          <w:sz w:val="21"/>
        </w:rPr>
        <w:t>卖</w:t>
      </w:r>
    </w:p>
    <w:p w14:paraId="5E38C831">
      <w:pPr>
        <w:spacing w:before="413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蔬菜种</w:t>
      </w:r>
    </w:p>
    <w:p w14:paraId="7179CADE">
      <w:pPr>
        <w:spacing w:before="7" w:after="0" w:line="239" w:lineRule="exact"/>
        <w:ind w:left="239" w:right="1927" w:firstLine="92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136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4.53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249.5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4.24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132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3.520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517.5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4.10 </w:t>
      </w:r>
      <w:r>
        <w:rPr>
          <w:rFonts w:ascii="楷体" w:hAnsi="楷体" w:cs="楷体"/>
          <w:color w:val="000000"/>
          <w:spacing w:val="0"/>
          <w:sz w:val="21"/>
        </w:rPr>
        <w:t>植</w:t>
      </w:r>
    </w:p>
    <w:p w14:paraId="5944CE4A">
      <w:pPr>
        <w:spacing w:before="413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食盐买</w:t>
      </w:r>
    </w:p>
    <w:p w14:paraId="35C49DF5">
      <w:pPr>
        <w:spacing w:before="7" w:after="0" w:line="239" w:lineRule="exact"/>
        <w:ind w:left="239" w:right="1927" w:firstLine="84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409.5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13.63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29.5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0.50</w:t>
      </w:r>
      <w:r>
        <w:rPr>
          <w:rFonts w:ascii="Times New Roman"/>
          <w:color w:val="000000"/>
          <w:spacing w:val="6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29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0.773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468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3.70 </w:t>
      </w:r>
      <w:r>
        <w:rPr>
          <w:rFonts w:ascii="楷体" w:hAnsi="楷体" w:cs="楷体"/>
          <w:color w:val="000000"/>
          <w:spacing w:val="0"/>
          <w:sz w:val="21"/>
        </w:rPr>
        <w:t>卖</w:t>
      </w:r>
    </w:p>
    <w:p w14:paraId="50C9C64D">
      <w:pPr>
        <w:spacing w:before="402" w:after="0" w:line="243" w:lineRule="exact"/>
        <w:ind w:left="1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挑担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39</w:t>
      </w:r>
      <w:r>
        <w:rPr>
          <w:rFonts w:ascii="Times New Roman"/>
          <w:color w:val="000000"/>
          <w:spacing w:val="6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1.30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127.5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2.17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176.5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4.71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343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2.72</w:t>
      </w:r>
    </w:p>
    <w:p w14:paraId="3C495BBC">
      <w:pPr>
        <w:spacing w:before="391" w:after="0" w:line="243" w:lineRule="exact"/>
        <w:ind w:left="1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借贷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6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0.43</w:t>
      </w:r>
      <w:r>
        <w:rPr>
          <w:rFonts w:ascii="Times New Roman"/>
          <w:color w:val="000000"/>
          <w:spacing w:val="7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7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0.02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33.5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0.893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47.5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0.38</w:t>
      </w:r>
    </w:p>
    <w:p w14:paraId="0B18D539">
      <w:pPr>
        <w:spacing w:before="402" w:after="0" w:line="220" w:lineRule="exact"/>
        <w:ind w:left="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其他商</w:t>
      </w:r>
    </w:p>
    <w:p w14:paraId="61C73F27">
      <w:pPr>
        <w:spacing w:before="7" w:after="0" w:line="239" w:lineRule="exact"/>
        <w:ind w:left="239" w:right="1927" w:firstLine="92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336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11.18</w:t>
      </w:r>
      <w:r>
        <w:rPr>
          <w:rFonts w:ascii="Times New Roman"/>
          <w:color w:val="000000"/>
          <w:spacing w:val="5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358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6.09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374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9.972</w:t>
      </w:r>
      <w:r>
        <w:rPr>
          <w:rFonts w:ascii="Times New Roman"/>
          <w:color w:val="000000"/>
          <w:spacing w:val="5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1068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8.45 </w:t>
      </w:r>
      <w:r>
        <w:rPr>
          <w:rFonts w:ascii="楷体" w:hAnsi="楷体" w:cs="楷体"/>
          <w:color w:val="000000"/>
          <w:spacing w:val="0"/>
          <w:sz w:val="21"/>
        </w:rPr>
        <w:t>务</w:t>
      </w:r>
    </w:p>
    <w:p w14:paraId="25F870D3">
      <w:pPr>
        <w:spacing w:before="402" w:after="0" w:line="243" w:lineRule="exact"/>
        <w:ind w:left="1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合计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3004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100</w:t>
      </w:r>
      <w:r>
        <w:rPr>
          <w:rFonts w:ascii="Times New Roman"/>
          <w:color w:val="000000"/>
          <w:spacing w:val="5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5879.5</w:t>
      </w:r>
      <w:r>
        <w:rPr>
          <w:rFonts w:ascii="Times New Roman"/>
          <w:color w:val="000000"/>
          <w:spacing w:val="5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100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3750</w:t>
      </w:r>
      <w:r>
        <w:rPr>
          <w:rFonts w:ascii="Times New Roman"/>
          <w:color w:val="000000"/>
          <w:spacing w:val="6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100</w:t>
      </w:r>
      <w:r>
        <w:rPr>
          <w:rFonts w:ascii="Times New Roman"/>
          <w:color w:val="000000"/>
          <w:spacing w:val="4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12633.5</w:t>
      </w:r>
      <w:r>
        <w:rPr>
          <w:rFonts w:ascii="Times New Roman"/>
          <w:color w:val="000000"/>
          <w:spacing w:val="4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100</w:t>
      </w:r>
    </w:p>
    <w:p w14:paraId="51A39B77">
      <w:pPr>
        <w:spacing w:before="31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表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程家排日账中的地名及相关信息</w:t>
      </w:r>
    </w:p>
    <w:p w14:paraId="4AEC88CA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距程家距离（单位：华里）</w:t>
      </w:r>
      <w:r>
        <w:rPr>
          <w:rFonts w:ascii="Times New Roman"/>
          <w:color w:val="000000"/>
          <w:spacing w:val="141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地名与出现频次（单位：次）</w:t>
      </w:r>
    </w:p>
    <w:p w14:paraId="7CBC6878">
      <w:pPr>
        <w:spacing w:before="402" w:after="0" w:line="243" w:lineRule="exact"/>
        <w:ind w:left="26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西坑（</w:t>
      </w:r>
      <w:r>
        <w:rPr>
          <w:rFonts w:ascii="Times New Roman"/>
          <w:color w:val="000000"/>
          <w:spacing w:val="0"/>
          <w:sz w:val="21"/>
        </w:rPr>
        <w:t>809</w:t>
      </w:r>
      <w:r>
        <w:rPr>
          <w:rFonts w:ascii="楷体" w:hAnsi="楷体" w:cs="楷体"/>
          <w:color w:val="000000"/>
          <w:spacing w:val="-21"/>
          <w:sz w:val="21"/>
        </w:rPr>
        <w:t>），牛栏（</w:t>
      </w:r>
      <w:r>
        <w:rPr>
          <w:rFonts w:ascii="Times New Roman"/>
          <w:color w:val="000000"/>
          <w:spacing w:val="0"/>
          <w:sz w:val="21"/>
        </w:rPr>
        <w:t>790</w:t>
      </w:r>
      <w:r>
        <w:rPr>
          <w:rFonts w:ascii="楷体" w:hAnsi="楷体" w:cs="楷体"/>
          <w:color w:val="000000"/>
          <w:spacing w:val="-17"/>
          <w:sz w:val="21"/>
        </w:rPr>
        <w:t>），西坑山（</w:t>
      </w:r>
      <w:r>
        <w:rPr>
          <w:rFonts w:ascii="Times New Roman"/>
          <w:color w:val="000000"/>
          <w:spacing w:val="0"/>
          <w:sz w:val="21"/>
        </w:rPr>
        <w:t>614</w:t>
      </w:r>
      <w:r>
        <w:rPr>
          <w:rFonts w:ascii="楷体" w:hAnsi="楷体" w:cs="楷体"/>
          <w:color w:val="000000"/>
          <w:spacing w:val="-21"/>
          <w:sz w:val="21"/>
        </w:rPr>
        <w:t>），顿底（</w:t>
      </w:r>
      <w:r>
        <w:rPr>
          <w:rFonts w:ascii="Times New Roman"/>
          <w:color w:val="000000"/>
          <w:spacing w:val="0"/>
          <w:sz w:val="21"/>
        </w:rPr>
        <w:t>590</w:t>
      </w:r>
      <w:r>
        <w:rPr>
          <w:rFonts w:ascii="楷体" w:hAnsi="楷体" w:cs="楷体"/>
          <w:color w:val="000000"/>
          <w:spacing w:val="-35"/>
          <w:sz w:val="21"/>
        </w:rPr>
        <w:t>），白</w:t>
      </w:r>
    </w:p>
    <w:p w14:paraId="4CCECB9C">
      <w:pPr>
        <w:spacing w:before="236" w:after="0" w:line="233" w:lineRule="exact"/>
        <w:ind w:left="924" w:right="2614" w:firstLine="1677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石垓（</w:t>
      </w:r>
      <w:r>
        <w:rPr>
          <w:rFonts w:ascii="Times New Roman"/>
          <w:color w:val="000000"/>
          <w:spacing w:val="0"/>
          <w:sz w:val="21"/>
        </w:rPr>
        <w:t>455</w:t>
      </w:r>
      <w:r>
        <w:rPr>
          <w:rFonts w:ascii="楷体" w:hAnsi="楷体" w:cs="楷体"/>
          <w:color w:val="000000"/>
          <w:spacing w:val="-21"/>
          <w:sz w:val="21"/>
        </w:rPr>
        <w:t>），庄下（</w:t>
      </w:r>
      <w:r>
        <w:rPr>
          <w:rFonts w:ascii="Times New Roman"/>
          <w:color w:val="000000"/>
          <w:spacing w:val="0"/>
          <w:sz w:val="21"/>
        </w:rPr>
        <w:t>382</w:t>
      </w:r>
      <w:r>
        <w:rPr>
          <w:rFonts w:ascii="楷体" w:hAnsi="楷体" w:cs="楷体"/>
          <w:color w:val="000000"/>
          <w:spacing w:val="-21"/>
          <w:sz w:val="21"/>
        </w:rPr>
        <w:t>），燕山（</w:t>
      </w:r>
      <w:r>
        <w:rPr>
          <w:rFonts w:ascii="Times New Roman"/>
          <w:color w:val="000000"/>
          <w:spacing w:val="0"/>
          <w:sz w:val="21"/>
        </w:rPr>
        <w:t>346</w:t>
      </w:r>
      <w:r>
        <w:rPr>
          <w:rFonts w:ascii="楷体" w:hAnsi="楷体" w:cs="楷体"/>
          <w:color w:val="000000"/>
          <w:spacing w:val="-17"/>
          <w:sz w:val="21"/>
        </w:rPr>
        <w:t>），抄珠山（</w:t>
      </w:r>
      <w:r>
        <w:rPr>
          <w:rFonts w:ascii="Times New Roman"/>
          <w:color w:val="000000"/>
          <w:spacing w:val="0"/>
          <w:sz w:val="21"/>
        </w:rPr>
        <w:t>103</w:t>
      </w:r>
      <w:r>
        <w:rPr>
          <w:rFonts w:ascii="楷体" w:hAnsi="楷体" w:cs="楷体"/>
          <w:color w:val="000000"/>
          <w:spacing w:val="-35"/>
          <w:sz w:val="21"/>
        </w:rPr>
        <w:t xml:space="preserve">），大 </w:t>
      </w:r>
      <w:r>
        <w:rPr>
          <w:rFonts w:ascii="Times New Roman" w:hAnsi="Times New Roman" w:cs="Times New Roman"/>
          <w:color w:val="000000"/>
          <w:spacing w:val="0"/>
          <w:sz w:val="21"/>
        </w:rPr>
        <w:t>0—10</w:t>
      </w:r>
    </w:p>
    <w:p w14:paraId="0C8E4472">
      <w:pPr>
        <w:spacing w:before="0" w:after="0" w:line="243" w:lineRule="exact"/>
        <w:ind w:left="26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桥（</w:t>
      </w:r>
      <w:r>
        <w:rPr>
          <w:rFonts w:ascii="Times New Roman"/>
          <w:color w:val="000000"/>
          <w:spacing w:val="0"/>
          <w:sz w:val="21"/>
        </w:rPr>
        <w:t>69</w:t>
      </w:r>
      <w:r>
        <w:rPr>
          <w:rFonts w:ascii="楷体" w:hAnsi="楷体" w:cs="楷体"/>
          <w:color w:val="000000"/>
          <w:spacing w:val="-17"/>
          <w:sz w:val="21"/>
        </w:rPr>
        <w:t>），墓山口（</w:t>
      </w:r>
      <w:r>
        <w:rPr>
          <w:rFonts w:ascii="Times New Roman"/>
          <w:color w:val="000000"/>
          <w:spacing w:val="0"/>
          <w:sz w:val="21"/>
        </w:rPr>
        <w:t>60</w:t>
      </w:r>
      <w:r>
        <w:rPr>
          <w:rFonts w:ascii="楷体" w:hAnsi="楷体" w:cs="楷体"/>
          <w:color w:val="000000"/>
          <w:spacing w:val="-17"/>
          <w:sz w:val="21"/>
        </w:rPr>
        <w:t>），石桥底（</w:t>
      </w:r>
      <w:r>
        <w:rPr>
          <w:rFonts w:ascii="Times New Roman"/>
          <w:color w:val="000000"/>
          <w:spacing w:val="0"/>
          <w:sz w:val="21"/>
        </w:rPr>
        <w:t>58</w:t>
      </w:r>
      <w:r>
        <w:rPr>
          <w:rFonts w:ascii="楷体" w:hAnsi="楷体" w:cs="楷体"/>
          <w:color w:val="000000"/>
          <w:spacing w:val="-17"/>
          <w:sz w:val="21"/>
        </w:rPr>
        <w:t>），白玉山（</w:t>
      </w:r>
      <w:r>
        <w:rPr>
          <w:rFonts w:ascii="Times New Roman"/>
          <w:color w:val="000000"/>
          <w:spacing w:val="0"/>
          <w:sz w:val="21"/>
        </w:rPr>
        <w:t>56</w:t>
      </w:r>
      <w:r>
        <w:rPr>
          <w:rFonts w:ascii="楷体" w:hAnsi="楷体" w:cs="楷体"/>
          <w:color w:val="000000"/>
          <w:spacing w:val="-26"/>
          <w:sz w:val="21"/>
        </w:rPr>
        <w:t>），石蓬</w:t>
      </w:r>
    </w:p>
    <w:p w14:paraId="270D0447">
      <w:pPr>
        <w:spacing w:before="226" w:after="0" w:line="243" w:lineRule="exact"/>
        <w:ind w:left="26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基（</w:t>
      </w:r>
      <w:r>
        <w:rPr>
          <w:rFonts w:ascii="Times New Roman"/>
          <w:color w:val="000000"/>
          <w:spacing w:val="0"/>
          <w:sz w:val="21"/>
        </w:rPr>
        <w:t>54</w:t>
      </w:r>
      <w:r>
        <w:rPr>
          <w:rFonts w:ascii="楷体" w:hAnsi="楷体" w:cs="楷体"/>
          <w:color w:val="000000"/>
          <w:spacing w:val="-17"/>
          <w:sz w:val="21"/>
        </w:rPr>
        <w:t>），屋背后（</w:t>
      </w:r>
      <w:r>
        <w:rPr>
          <w:rFonts w:ascii="Times New Roman"/>
          <w:color w:val="000000"/>
          <w:spacing w:val="0"/>
          <w:sz w:val="21"/>
        </w:rPr>
        <w:t>53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4218E115">
      <w:pPr>
        <w:spacing w:before="391" w:after="0" w:line="243" w:lineRule="exact"/>
        <w:ind w:left="87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-2"/>
          <w:sz w:val="21"/>
        </w:rPr>
        <w:t>11—20</w:t>
      </w:r>
      <w:r>
        <w:rPr>
          <w:rFonts w:ascii="Times New Roman"/>
          <w:color w:val="000000"/>
          <w:spacing w:val="10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苦竹山（</w:t>
      </w:r>
      <w:r>
        <w:rPr>
          <w:rFonts w:ascii="Times New Roman"/>
          <w:color w:val="000000"/>
          <w:spacing w:val="0"/>
          <w:sz w:val="21"/>
        </w:rPr>
        <w:t>2600</w:t>
      </w:r>
      <w:r>
        <w:rPr>
          <w:rFonts w:ascii="楷体" w:hAnsi="楷体" w:cs="楷体"/>
          <w:color w:val="000000"/>
          <w:spacing w:val="-21"/>
          <w:sz w:val="21"/>
        </w:rPr>
        <w:t>），大连（</w:t>
      </w:r>
      <w:r>
        <w:rPr>
          <w:rFonts w:ascii="Times New Roman"/>
          <w:color w:val="000000"/>
          <w:spacing w:val="0"/>
          <w:sz w:val="21"/>
        </w:rPr>
        <w:t>195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13751E14">
      <w:pPr>
        <w:spacing w:before="391" w:after="0" w:line="243" w:lineRule="exact"/>
        <w:ind w:left="87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21—50</w:t>
      </w:r>
      <w:r>
        <w:rPr>
          <w:rFonts w:ascii="Times New Roman"/>
          <w:color w:val="000000"/>
          <w:spacing w:val="1047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清华（</w:t>
      </w:r>
      <w:r>
        <w:rPr>
          <w:rFonts w:ascii="Times New Roman"/>
          <w:color w:val="000000"/>
          <w:spacing w:val="0"/>
          <w:sz w:val="21"/>
        </w:rPr>
        <w:t>763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528EDFE0">
      <w:pPr>
        <w:spacing w:before="8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DD890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BB234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33DA5C5">
      <w:pPr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08ABD1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352FB8D">
      <w:pPr>
        <w:spacing w:before="0" w:after="0" w:line="243" w:lineRule="exact"/>
        <w:ind w:left="819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3" o:spid="_x0000_s104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4" o:spid="_x0000_s105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47pt;margin-top:65.05pt;height:89.0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Times New Roman" w:hAnsi="Times New Roman" w:cs="Times New Roman"/>
          <w:color w:val="000000"/>
          <w:spacing w:val="0"/>
          <w:sz w:val="21"/>
        </w:rPr>
        <w:t>51—100</w:t>
      </w:r>
      <w:r>
        <w:rPr>
          <w:rFonts w:ascii="Times New Roman"/>
          <w:color w:val="000000"/>
          <w:spacing w:val="99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长林（</w:t>
      </w:r>
      <w:r>
        <w:rPr>
          <w:rFonts w:ascii="Times New Roman"/>
          <w:color w:val="000000"/>
          <w:spacing w:val="0"/>
          <w:sz w:val="21"/>
        </w:rPr>
        <w:t>92</w:t>
      </w:r>
      <w:r>
        <w:rPr>
          <w:rFonts w:ascii="楷体" w:hAnsi="楷体" w:cs="楷体"/>
          <w:color w:val="000000"/>
          <w:spacing w:val="-21"/>
          <w:sz w:val="21"/>
        </w:rPr>
        <w:t>），赋春（</w:t>
      </w:r>
      <w:r>
        <w:rPr>
          <w:rFonts w:ascii="Times New Roman"/>
          <w:color w:val="000000"/>
          <w:spacing w:val="0"/>
          <w:sz w:val="21"/>
        </w:rPr>
        <w:t>77</w:t>
      </w:r>
      <w:r>
        <w:rPr>
          <w:rFonts w:ascii="楷体" w:hAnsi="楷体" w:cs="楷体"/>
          <w:color w:val="000000"/>
          <w:spacing w:val="-21"/>
          <w:sz w:val="21"/>
        </w:rPr>
        <w:t>），甲路（</w:t>
      </w:r>
      <w:r>
        <w:rPr>
          <w:rFonts w:ascii="Times New Roman"/>
          <w:color w:val="000000"/>
          <w:spacing w:val="0"/>
          <w:sz w:val="21"/>
        </w:rPr>
        <w:t>56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418D44C8">
      <w:pPr>
        <w:spacing w:before="401" w:after="0" w:line="233" w:lineRule="exact"/>
        <w:ind w:left="971" w:right="2622" w:firstLine="163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溪口（</w:t>
      </w:r>
      <w:r>
        <w:rPr>
          <w:rFonts w:ascii="Times New Roman"/>
          <w:color w:val="000000"/>
          <w:spacing w:val="0"/>
          <w:sz w:val="21"/>
        </w:rPr>
        <w:t>546</w:t>
      </w:r>
      <w:r>
        <w:rPr>
          <w:rFonts w:ascii="楷体" w:hAnsi="楷体" w:cs="楷体"/>
          <w:color w:val="000000"/>
          <w:spacing w:val="-21"/>
          <w:sz w:val="21"/>
        </w:rPr>
        <w:t>），庄前（</w:t>
      </w:r>
      <w:r>
        <w:rPr>
          <w:rFonts w:ascii="Times New Roman"/>
          <w:color w:val="000000"/>
          <w:spacing w:val="-3"/>
          <w:sz w:val="21"/>
        </w:rPr>
        <w:t>211</w:t>
      </w:r>
      <w:r>
        <w:rPr>
          <w:rFonts w:ascii="楷体" w:hAnsi="楷体" w:cs="楷体"/>
          <w:color w:val="000000"/>
          <w:spacing w:val="-21"/>
          <w:sz w:val="21"/>
        </w:rPr>
        <w:t>），休宁（</w:t>
      </w:r>
      <w:r>
        <w:rPr>
          <w:rFonts w:ascii="Times New Roman"/>
          <w:color w:val="000000"/>
          <w:spacing w:val="0"/>
          <w:sz w:val="21"/>
        </w:rPr>
        <w:t>210</w:t>
      </w:r>
      <w:r>
        <w:rPr>
          <w:rFonts w:ascii="楷体" w:hAnsi="楷体" w:cs="楷体"/>
          <w:color w:val="000000"/>
          <w:spacing w:val="-21"/>
          <w:sz w:val="21"/>
        </w:rPr>
        <w:t>），沂源（</w:t>
      </w:r>
      <w:r>
        <w:rPr>
          <w:rFonts w:ascii="Times New Roman"/>
          <w:color w:val="000000"/>
          <w:spacing w:val="0"/>
          <w:sz w:val="21"/>
        </w:rPr>
        <w:t>192</w:t>
      </w:r>
      <w:r>
        <w:rPr>
          <w:rFonts w:ascii="楷体" w:hAnsi="楷体" w:cs="楷体"/>
          <w:color w:val="000000"/>
          <w:spacing w:val="-26"/>
          <w:sz w:val="21"/>
        </w:rPr>
        <w:t xml:space="preserve">），司马 </w:t>
      </w:r>
      <w:r>
        <w:rPr>
          <w:rFonts w:ascii="Times New Roman" w:hAnsi="Times New Roman" w:cs="Times New Roman"/>
          <w:color w:val="000000"/>
          <w:spacing w:val="0"/>
          <w:sz w:val="21"/>
        </w:rPr>
        <w:t>≥101</w:t>
      </w:r>
    </w:p>
    <w:p w14:paraId="475DEE68">
      <w:pPr>
        <w:spacing w:before="0" w:after="0" w:line="243" w:lineRule="exact"/>
        <w:ind w:left="26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敦（</w:t>
      </w:r>
      <w:r>
        <w:rPr>
          <w:rFonts w:ascii="Times New Roman"/>
          <w:color w:val="000000"/>
          <w:spacing w:val="0"/>
          <w:sz w:val="21"/>
        </w:rPr>
        <w:t>81</w:t>
      </w:r>
      <w:r>
        <w:rPr>
          <w:rFonts w:ascii="楷体" w:hAnsi="楷体" w:cs="楷体"/>
          <w:color w:val="000000"/>
          <w:spacing w:val="-21"/>
          <w:sz w:val="21"/>
        </w:rPr>
        <w:t>），蓝渡（</w:t>
      </w:r>
      <w:r>
        <w:rPr>
          <w:rFonts w:ascii="Times New Roman"/>
          <w:color w:val="000000"/>
          <w:spacing w:val="0"/>
          <w:sz w:val="21"/>
        </w:rPr>
        <w:t>52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72D1BE24">
      <w:pPr>
        <w:spacing w:before="31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注：上述地名为排日账中出现频次</w:t>
      </w:r>
      <w:r>
        <w:rPr>
          <w:rFonts w:ascii="Times New Roman"/>
          <w:color w:val="000000"/>
          <w:spacing w:val="0"/>
          <w:sz w:val="21"/>
        </w:rPr>
        <w:t xml:space="preserve"> 50 </w:t>
      </w:r>
      <w:r>
        <w:rPr>
          <w:rFonts w:ascii="楷体" w:hAnsi="楷体" w:cs="楷体"/>
          <w:color w:val="000000"/>
          <w:spacing w:val="0"/>
          <w:sz w:val="21"/>
        </w:rPr>
        <w:t>次以上者。</w:t>
      </w:r>
    </w:p>
    <w:p w14:paraId="205E3275">
      <w:pPr>
        <w:spacing w:before="226" w:after="0" w:line="243" w:lineRule="exact"/>
        <w:ind w:left="40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据刘永华《从“排日账”看晚清徽州乡民的活动空间》等</w:t>
      </w:r>
    </w:p>
    <w:p w14:paraId="328C84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）表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为我们研究程家生计活动提供了哪些角度？</w:t>
      </w:r>
    </w:p>
    <w:p w14:paraId="063CAC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）从空间维度研究程家生计活动，表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能满足研究需要吗？据上述材料说明理由。</w:t>
      </w:r>
    </w:p>
    <w:p w14:paraId="34E21CD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）在研究程家生计情况时，有学者使用了《婺源县志》和《中国旧海关史料》两种史料。为什么要使用</w:t>
      </w:r>
    </w:p>
    <w:p w14:paraId="1B79CF9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这些史料？谈谈你的看法。</w:t>
      </w:r>
    </w:p>
    <w:p w14:paraId="41D500E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5BBA493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“雅尔塔会议”的一种版本</w:t>
      </w:r>
    </w:p>
    <w:p w14:paraId="0DB70863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1953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年，苏联历史学者弗·尼·尼基甫洛夫应聘来中国讲学，在某学院讲授世界史课程。</w:t>
      </w:r>
      <w:r>
        <w:rPr>
          <w:rFonts w:ascii="Times New Roman"/>
          <w:color w:val="000000"/>
          <w:spacing w:val="0"/>
          <w:sz w:val="21"/>
        </w:rPr>
        <w:t>1955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年，学</w:t>
      </w:r>
    </w:p>
    <w:p w14:paraId="41F2071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院教务处根据他的讲义增订而成《世界通史讲义》一书，供中国学员使用。以下是该书对“雅尔塔会议”</w:t>
      </w:r>
    </w:p>
    <w:p w14:paraId="172C856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的相关解释：</w:t>
      </w:r>
    </w:p>
    <w:p w14:paraId="370FB87B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一九四五年一月，苏军在波兰展开了攻势，把英美军队从覆灭的威胁中拯救了出来。苏军先头部队粉</w:t>
      </w:r>
    </w:p>
    <w:p w14:paraId="291FA9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碎了德国法西斯军队的反抗，在东普鲁士和西里西亚攻入了德国领土。苏联伟大卫国战争进入了第四个阶</w:t>
      </w:r>
    </w:p>
    <w:p w14:paraId="57DB4FE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段即结束阶段。一九四五年二月，当情况表明对德战争的结束只是最近几个月的问题的时候，在克里米亚</w:t>
      </w:r>
    </w:p>
    <w:p w14:paraId="132B29E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半岛的雅尔达（雅尔塔）举行了三强首脑的第二次会谈。克里米亚会议通过了肃清德国军国主义并使德国</w:t>
      </w:r>
    </w:p>
    <w:p w14:paraId="554EB9A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民主化的决议，以及由德国赔偿其他国家由于德国侵略而遭到的损失的决议。……美英两国政府在第二次世</w:t>
      </w:r>
    </w:p>
    <w:p w14:paraId="43A67D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界大战行将胜利结束时本国人民特别强大的压力下，通过了克里米亚会议的决议。实际上，美国和英国并</w:t>
      </w:r>
    </w:p>
    <w:p w14:paraId="7606BF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不准备履行它们所签署的决议。只有苏联准确地、始终不渝地履行了在克里米亚所达成的各项协议。</w:t>
      </w:r>
    </w:p>
    <w:p w14:paraId="330B504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）上述解释中哪些是史实</w:t>
      </w:r>
      <w:r>
        <w:rPr>
          <w:rFonts w:ascii="Times New Roman"/>
          <w:color w:val="000000"/>
          <w:spacing w:val="0"/>
          <w:sz w:val="21"/>
        </w:rPr>
        <w:t>?</w:t>
      </w:r>
      <w:r>
        <w:rPr>
          <w:rFonts w:ascii="宋体" w:hAnsi="宋体" w:cs="宋体"/>
          <w:color w:val="000000"/>
          <w:spacing w:val="0"/>
          <w:sz w:val="21"/>
        </w:rPr>
        <w:t>哪些是观点</w:t>
      </w:r>
      <w:r>
        <w:rPr>
          <w:rFonts w:ascii="Times New Roman"/>
          <w:color w:val="000000"/>
          <w:spacing w:val="0"/>
          <w:sz w:val="21"/>
        </w:rPr>
        <w:t>?</w:t>
      </w:r>
      <w:r>
        <w:rPr>
          <w:rFonts w:ascii="宋体" w:hAnsi="宋体" w:cs="宋体"/>
          <w:color w:val="000000"/>
          <w:spacing w:val="0"/>
          <w:sz w:val="21"/>
        </w:rPr>
        <w:t>各举一例。</w:t>
      </w:r>
    </w:p>
    <w:p w14:paraId="1922E16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）说明上述解释形成的原因。</w:t>
      </w:r>
    </w:p>
    <w:p w14:paraId="4AEA15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）对上述解释提出一项修改或补充建议。</w:t>
      </w:r>
    </w:p>
    <w:p w14:paraId="5471D2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16ABDF3B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两份名单：科技与人文的力量</w:t>
      </w:r>
    </w:p>
    <w:p w14:paraId="1F2D5A3C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如图所列为世界史上的一些历史人物。他们在科技、人文领域取得的一系列重大成就，对社会进步产</w:t>
      </w:r>
    </w:p>
    <w:p w14:paraId="0A53CB6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生了深远影响。</w:t>
      </w:r>
    </w:p>
    <w:p w14:paraId="0FAD48D2">
      <w:pPr>
        <w:spacing w:before="71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9B3AC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F42D8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5EB36CB">
      <w:pPr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E0998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1D321536">
      <w:pPr>
        <w:spacing w:before="0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6" o:spid="_x0000_s105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7" o:spid="_x0000_s105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8" o:spid="_x0000_s1054" o:spt="75" type="#_x0000_t75" style="position:absolute;left:0pt;margin-left:47pt;margin-top:65.05pt;height:151.3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名单一</w:t>
      </w:r>
    </w:p>
    <w:p w14:paraId="775A5E31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但丁、彼特拉克、薄伽丘、谷登堡、达·芬奇、哥白尼、米开朗琪罗、马丁·路德、</w:t>
      </w:r>
    </w:p>
    <w:p w14:paraId="4B37DCA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莎士比亚、伽利略、威廉·哈维、列文虎克、牛顿</w:t>
      </w:r>
    </w:p>
    <w:p w14:paraId="550F4CFC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名单二</w:t>
      </w:r>
    </w:p>
    <w:p w14:paraId="57FAF35B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孟德斯鸠、伏尔泰、卢梭、哈格里夫斯、瓦特、圣西门、富尔顿、欧文、傅立叶、斯</w:t>
      </w:r>
    </w:p>
    <w:p w14:paraId="1D5AE55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蒂芬森、达尔文、马克思、恩格斯、贝尔、莱特兄弟</w:t>
      </w:r>
    </w:p>
    <w:p w14:paraId="1629F9F2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结合材料，以“科技与人文的力量”为题，写一则历史短文。（要求：表述成文，叙述完整；立论正确，史</w:t>
      </w:r>
    </w:p>
    <w:p w14:paraId="737EE9A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论结合；层次分明，逻辑严密，条理清晰。）</w:t>
      </w:r>
    </w:p>
    <w:p w14:paraId="6096835F">
      <w:pPr>
        <w:spacing w:before="1024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4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E25719E9-7F04-48FA-8FBE-F0C22BE95046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D7A5A14-2CBC-4EC6-8C09-2520779A503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2E939FA-0358-487D-9010-7C508046AC2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38CAF95-6F83-4FEB-B0BA-C325B53F52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BF278813-4233-41A2-BA4D-90A0476DE03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F8A3379-685C-4B11-8A81-53DBC2C43F6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725A3994-8640-46F8-B824-9AAFA02F7530}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  <w:embedRegular r:id="rId8" w:fontKey="{6BC52980-ECE9-42EA-AE94-5A585F4F106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416CFD42-5A8F-4645-9A19-B649E927A1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711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330F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41FE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73697360"/>
    <w:rsid w:val="7568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3656</Words>
  <Characters>4184</Characters>
  <Lines>0</Lines>
  <Paragraphs>162</Paragraphs>
  <TotalTime>3</TotalTime>
  <ScaleCrop>false</ScaleCrop>
  <LinksUpToDate>false</LinksUpToDate>
  <CharactersWithSpaces>4478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2026-06-20T07:13:00Z</dcterms:created>
  <dc:creator>Administrator</dc:creator>
  <cp:lastModifiedBy>上帝掷骰子吗</cp:lastModifiedBy>
  <dcterms:modified xsi:type="dcterms:W3CDTF">2026-09-18T16:48:16Z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0B7A2FCD5206480596123AB50B76E35B_12</vt:lpwstr>
  </property>
</Properties>
</file>