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91E9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53pt;margin-top:501pt;height:110.05pt;width:26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59.75pt;margin-top:652.65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绝密★启用前</w:t>
      </w:r>
    </w:p>
    <w:p w14:paraId="5CB9BB97">
      <w:pPr>
        <w:spacing w:before="201" w:after="0" w:line="359" w:lineRule="exact"/>
        <w:ind w:left="16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/>
          <w:b/>
          <w:color w:val="000000"/>
          <w:spacing w:val="0"/>
          <w:sz w:val="32"/>
        </w:rPr>
        <w:t>1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月浙江省普通高校招生选考科目考试</w:t>
      </w:r>
    </w:p>
    <w:p w14:paraId="0C13B011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历史</w:t>
      </w:r>
    </w:p>
    <w:p w14:paraId="24FE7A0A">
      <w:pPr>
        <w:spacing w:before="202" w:after="0" w:line="276" w:lineRule="exact"/>
        <w:ind w:left="59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本试题卷分选择题和非选择题两部分，共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页，满分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90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09F619CE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考生注意：</w:t>
      </w:r>
    </w:p>
    <w:p w14:paraId="2240D843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．答题前，请务必将直接的姓名、准考证号用黑色字迹的签字笔或钢笔分别填写在试题卷和</w:t>
      </w:r>
    </w:p>
    <w:p w14:paraId="3766A607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答题纸规定的位置上。</w:t>
      </w:r>
    </w:p>
    <w:p w14:paraId="74A7479E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．答题时，请按照答题纸上“注意事项”的要求，在答题纸相应的位置上规范作答，在本试</w:t>
      </w:r>
    </w:p>
    <w:p w14:paraId="509E8682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题卷上的作答一律无效。</w:t>
      </w:r>
    </w:p>
    <w:p w14:paraId="7201AEDE">
      <w:pPr>
        <w:spacing w:before="121" w:after="0" w:line="250" w:lineRule="exact"/>
        <w:ind w:left="367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第一部分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选择题部分</w:t>
      </w:r>
    </w:p>
    <w:p w14:paraId="00142C5B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一、选择题Ⅰ（本大题共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10 </w:t>
      </w:r>
      <w:r>
        <w:rPr>
          <w:rFonts w:ascii="宋体" w:hAnsi="宋体" w:cs="宋体"/>
          <w:color w:val="000000"/>
          <w:spacing w:val="1"/>
          <w:sz w:val="24"/>
        </w:rPr>
        <w:t>分。每小题列出的四个备选项中只有一</w:t>
      </w:r>
    </w:p>
    <w:p w14:paraId="12E9CFFF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个是符合题目要求的，不选、多选、错选均不得分）</w:t>
      </w:r>
    </w:p>
    <w:p w14:paraId="37EC844A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周文王诫太子曰：“汝慎守勿失，以诏有司，夙夜勿忘，若民之向引……敬之哉！倍（背离）本者擒。”</w:t>
      </w:r>
    </w:p>
    <w:p w14:paraId="29DCF7F2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这一告诫体现的政治思想是（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353654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以法为教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以民为本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民贵君轻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无为而治</w:t>
      </w:r>
    </w:p>
    <w:p w14:paraId="646E3B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元代小品文《乌宝传》，以诙谐语言讽刺当时的货币崇拜：“初，宝之先有钱氏者，亦以通神之术显。迨</w:t>
      </w:r>
    </w:p>
    <w:p w14:paraId="114FFDA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宝出，而钱氏遂废……宝轻薄采默，外若方正，内实垢污……自公卿以下，莫不敬爱。”文中的“宝”是指</w:t>
      </w:r>
    </w:p>
    <w:p w14:paraId="06CE00E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685ACD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布币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纸钞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庄票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银元</w:t>
      </w:r>
    </w:p>
    <w:p w14:paraId="3EB3E3B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下列两幅宣传画的主旨是（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08CB065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开源节流，支持革命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自己动手，丰衣足食</w:t>
      </w:r>
    </w:p>
    <w:p w14:paraId="56E536AE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减租减息，一致抗日</w:t>
      </w:r>
      <w:r>
        <w:rPr>
          <w:rFonts w:ascii="Times New Roman"/>
          <w:color w:val="000000"/>
          <w:spacing w:val="26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土地改革，支援前线</w:t>
      </w:r>
    </w:p>
    <w:p w14:paraId="74906EF4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某学者指出，古代有一个世界性的帝国，地跨亚非欧三大洲，包括了两河流域、埃及和印度河三个古文</w:t>
      </w:r>
    </w:p>
    <w:p w14:paraId="77A919A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明中心，并且接近了另一个古文明中心</w: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宋体" w:hAnsi="宋体" w:cs="宋体"/>
          <w:color w:val="000000"/>
          <w:spacing w:val="0"/>
          <w:sz w:val="21"/>
        </w:rPr>
        <w:t>希腊的边缘。该帝国是（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D89AAB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波斯帝国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贵霜帝国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赫梯帝国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亚历山大帝国</w:t>
      </w:r>
    </w:p>
    <w:p w14:paraId="17102E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5. 14 </w:t>
      </w:r>
      <w:r>
        <w:rPr>
          <w:rFonts w:ascii="宋体" w:hAnsi="宋体" w:cs="宋体"/>
          <w:color w:val="000000"/>
          <w:spacing w:val="0"/>
          <w:sz w:val="21"/>
        </w:rPr>
        <w:t>世纪初，法国国王腓力四世首开三级会议的先河。此后，如果国王需要资金或进行破除旧习惯的立法，</w:t>
      </w:r>
    </w:p>
    <w:p w14:paraId="3D0A76D1">
      <w:pPr>
        <w:spacing w:before="29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61CB27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B9327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4C788AC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38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05AA4D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DDFC6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" o:spid="_x0000_s103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6" o:spid="_x0000_s103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7" o:spid="_x0000_s103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8" o:spid="_x0000_s1034" o:spt="75" type="#_x0000_t75" style="position:absolute;left:0pt;margin-left:266.1pt;margin-top:176.8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9" o:spid="_x0000_s1035" o:spt="75" type="#_x0000_t75" style="position:absolute;left:0pt;margin-left:47pt;margin-top:195.6pt;height:129.6pt;width:25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0" o:spid="_x0000_s1036" o:spt="75" type="#_x0000_t75" style="position:absolute;left:0pt;margin-left:47pt;margin-top:651.15pt;height:57.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就召开三级会议。</w:t>
      </w:r>
      <w:r>
        <w:rPr>
          <w:rFonts w:ascii="Times New Roman"/>
          <w:color w:val="000000"/>
          <w:spacing w:val="0"/>
          <w:sz w:val="21"/>
        </w:rPr>
        <w:t xml:space="preserve">15 </w:t>
      </w:r>
      <w:r>
        <w:rPr>
          <w:rFonts w:ascii="宋体" w:hAnsi="宋体" w:cs="宋体"/>
          <w:color w:val="000000"/>
          <w:spacing w:val="0"/>
          <w:sz w:val="21"/>
        </w:rPr>
        <w:t>世纪下半期的国王路易十一却很少召开三级会议，平时主要依靠御前会议提供咨询，</w:t>
      </w:r>
    </w:p>
    <w:p w14:paraId="10B070E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其成员皆由国王任命。这一变化反映了法国（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0AD522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等级君主制崩溃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贵族丧失政治权力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王权进一步强化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内阁制度逐步形成</w:t>
      </w:r>
    </w:p>
    <w:p w14:paraId="3C90C389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二、选择题Ⅱ（本大题共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36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分。每小题列出的四个备选项中只有</w:t>
      </w:r>
    </w:p>
    <w:p w14:paraId="49AE0BCC">
      <w:pPr>
        <w:spacing w:before="10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一个是符合题目要求的，不选、多选、错选均不得分）</w:t>
      </w:r>
    </w:p>
    <w:p w14:paraId="75855CFC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为政之要，莫先于用人。下表所示历史人物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入仕途径，其中为察举制的是（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09D30DD">
      <w:pPr>
        <w:spacing w:before="327" w:after="0" w:line="220" w:lineRule="exact"/>
        <w:ind w:left="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“举进士，授刑部主事”</w:t>
      </w:r>
    </w:p>
    <w:p w14:paraId="232A83D6">
      <w:pPr>
        <w:spacing w:before="413" w:after="0" w:line="220" w:lineRule="exact"/>
        <w:ind w:left="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10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“袭父爵，以功除统万镇将”</w:t>
      </w:r>
    </w:p>
    <w:p w14:paraId="6C0A8C41">
      <w:pPr>
        <w:spacing w:before="413" w:after="0" w:line="220" w:lineRule="exact"/>
        <w:ind w:left="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9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“举贤良方正，以对策为议郎”</w:t>
      </w:r>
    </w:p>
    <w:p w14:paraId="66CCD808">
      <w:pPr>
        <w:spacing w:before="413" w:after="0" w:line="220" w:lineRule="exact"/>
        <w:ind w:left="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</w:t>
      </w:r>
      <w:r>
        <w:rPr>
          <w:rFonts w:ascii="Times New Roman"/>
          <w:color w:val="000000"/>
          <w:spacing w:val="3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“举孝廉不就，司徒辟，以高第为侍御史”</w:t>
      </w:r>
    </w:p>
    <w:p w14:paraId="38EFB41F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9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19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19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④</w:t>
      </w:r>
    </w:p>
    <w:p w14:paraId="0718FF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明代文人徐咸在笔记中写道：“国初，民间妇人遇婚媾饮宴，皆服团袄为礼衣”“非仕宦族有恩封者不敢</w:t>
      </w:r>
    </w:p>
    <w:p w14:paraId="49814DC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用冠袍，今士民之家，遇嫁娶事，必假珠冠袍带以柴。一时乡间富民，必假黄凉伞以拥蔽其妇。僭乱至此，</w:t>
      </w:r>
    </w:p>
    <w:p w14:paraId="4B1FF4A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殊为可笑。非有司严申禁例，其何以革之？”徐咸批评的社会现象主要是（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D01016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商品经济发展加剧社会分化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地方官府对奢靡乱象不作为</w:t>
      </w:r>
    </w:p>
    <w:p w14:paraId="59D2DB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追求个性自由引发道德滑坡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奢华之风破坏社会等级秩序</w:t>
      </w:r>
    </w:p>
    <w:p w14:paraId="15AD7E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8. 1912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年临时参议院选举袁世凯为临时大总统后，孙中山向革命党人表示：“文等所求者，倾覆满清专制政</w:t>
      </w:r>
    </w:p>
    <w:p w14:paraId="29834BD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府，创立中华民国也。清帝退位，民国统一，继此建设之事，自宜让熟有政治经验之人……且总统不过国民</w:t>
      </w:r>
    </w:p>
    <w:p w14:paraId="5EE2831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公仆，当守宪法，从舆论。文前兹所誓忠于国民者，项城（袁世凯）已不能改。若在吾党，不必身揽政权，</w:t>
      </w:r>
    </w:p>
    <w:p w14:paraId="63F7E5F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亦自有其天职，更不以名位而为本党进退之征。”上述材料中，孙中山旨在强调（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B26E40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民主共和政体在中国初步确立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国家建设需要丰富的政治经验</w:t>
      </w:r>
    </w:p>
    <w:p w14:paraId="30612B5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临时大总统须遵守《临时约法》</w:t>
      </w:r>
      <w:r>
        <w:rPr>
          <w:rFonts w:ascii="Times New Roman"/>
          <w:color w:val="000000"/>
          <w:spacing w:val="15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移交政权有利于巩固革命成果</w:t>
      </w:r>
    </w:p>
    <w:p w14:paraId="5BDD15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9. 1936 </w:t>
      </w:r>
      <w:r>
        <w:rPr>
          <w:rFonts w:ascii="宋体" w:hAnsi="宋体" w:cs="宋体"/>
          <w:color w:val="000000"/>
          <w:spacing w:val="-5"/>
          <w:sz w:val="21"/>
        </w:rPr>
        <w:t>年，《晶报》报道了某地舞厅中的一个场景：</w:t>
      </w:r>
    </w:p>
    <w:p w14:paraId="634D667E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电影宣传国防是被禁了，而跳舞宣传国防还不太至于被干预。舞厅的顾客在乐手们演奏这</w:t>
      </w:r>
    </w:p>
    <w:p w14:paraId="274F04C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些抗日歌曲时会更加热情高涨……通过麦克风，唱起《抗敌歌》……</w:t>
      </w:r>
    </w:p>
    <w:p w14:paraId="6AA91563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这一场景最有可能发生在（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7C4DCB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沈阳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延安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上海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台北</w:t>
      </w:r>
    </w:p>
    <w:p w14:paraId="697CF763">
      <w:pPr>
        <w:spacing w:before="38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33904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77EB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0A0B88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2" o:spid="_x0000_s103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3" o:spid="_x0000_s1039" o:spt="75" type="#_x0000_t75" style="position:absolute;left:0pt;margin-left:47pt;margin-top:416.25pt;height:128.8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4" o:spid="_x0000_s1040" o:spt="75" type="#_x0000_t75" style="position:absolute;left:0pt;margin-left:184.35pt;margin-top:712.6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10. 1953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年，周恩来在全国财经会议预备会议上指出，我国新民主主义的制度是一个过渡的制度。在这个过</w:t>
      </w:r>
    </w:p>
    <w:p w14:paraId="280A380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渡时期，国家经济的发展、半社会主义合作社的增长、公私合营企业的发展、农业里边的互助合作的增多，</w:t>
      </w:r>
    </w:p>
    <w:p w14:paraId="140FF04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都是增加社会主义成分，“经济集体主义已有了雏形，有了胚胎。最后走完了这个过渡阶段，就到达了社会</w:t>
      </w:r>
    </w:p>
    <w:p w14:paraId="6D16501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主义社会”。周恩来的讲话表明，我国（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FF4DD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“一五”计划初步改变了工业的落后面貌</w:t>
      </w:r>
    </w:p>
    <w:p w14:paraId="778374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社会主义改造完成了生产关系的重大变革</w:t>
      </w:r>
    </w:p>
    <w:p w14:paraId="4570FF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国民经济恢复为社会主义革命奠定了基础</w:t>
      </w:r>
    </w:p>
    <w:p w14:paraId="16F69B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找到了适合自身特点的社会主义改造道路</w:t>
      </w:r>
    </w:p>
    <w:p w14:paraId="63E293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1978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宋体" w:hAnsi="宋体" w:cs="宋体"/>
          <w:color w:val="000000"/>
          <w:spacing w:val="0"/>
          <w:sz w:val="21"/>
        </w:rPr>
        <w:t>至</w:t>
      </w:r>
      <w:r>
        <w:rPr>
          <w:rFonts w:ascii="Times New Roman"/>
          <w:color w:val="000000"/>
          <w:spacing w:val="0"/>
          <w:sz w:val="21"/>
        </w:rPr>
        <w:t xml:space="preserve"> 9 </w:t>
      </w:r>
      <w:r>
        <w:rPr>
          <w:rFonts w:ascii="宋体" w:hAnsi="宋体" w:cs="宋体"/>
          <w:color w:val="000000"/>
          <w:spacing w:val="-3"/>
          <w:sz w:val="21"/>
        </w:rPr>
        <w:t>月，《光明日报》相继刊登山西读者陈寿昌的来信《农村集市贸易应该恢复》以及群众来</w:t>
      </w:r>
    </w:p>
    <w:p w14:paraId="6327847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信《陈寿昌的信说得好》《不能再“撵集”了》，接着又分别刊发山西一些地方关闭集市贸易造成严重后果</w:t>
      </w:r>
    </w:p>
    <w:p w14:paraId="3BF1335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的调查报告和《关闭集市贸易是前进吗》的评论员文章。随后，山西省委下达了开放全省集市贸易的有关</w:t>
      </w:r>
    </w:p>
    <w:p w14:paraId="136A901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决定。集市贸易的恢复方便了群众生活，促进了农副业发展。这反映出（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7FB266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改革首先在农村取得了突破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思想解放激发社会经济活力</w:t>
      </w:r>
    </w:p>
    <w:p w14:paraId="52C96B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经济体制转变促进集市繁荣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私营经济的经营自主权扩大</w:t>
      </w:r>
    </w:p>
    <w:p w14:paraId="7D389C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下表为</w:t>
      </w:r>
      <w:r>
        <w:rPr>
          <w:rFonts w:ascii="Times New Roman"/>
          <w:color w:val="000000"/>
          <w:spacing w:val="0"/>
          <w:sz w:val="21"/>
        </w:rPr>
        <w:t xml:space="preserve"> 2014 </w:t>
      </w:r>
      <w:r>
        <w:rPr>
          <w:rFonts w:ascii="宋体" w:hAnsi="宋体" w:cs="宋体"/>
          <w:color w:val="000000"/>
          <w:spacing w:val="0"/>
          <w:sz w:val="21"/>
        </w:rPr>
        <w:t>年以来部分省级政务服务</w:t>
      </w:r>
      <w:r>
        <w:rPr>
          <w:rFonts w:ascii="Times New Roman"/>
          <w:color w:val="000000"/>
          <w:spacing w:val="0"/>
          <w:sz w:val="21"/>
        </w:rPr>
        <w:t xml:space="preserve"> App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14A8D5C7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省（区、市）</w:t>
      </w:r>
      <w:r>
        <w:rPr>
          <w:rFonts w:ascii="Times New Roman"/>
          <w:color w:val="000000"/>
          <w:spacing w:val="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App</w:t>
      </w:r>
      <w:r>
        <w:rPr>
          <w:rFonts w:ascii="Times New Roman"/>
          <w:color w:val="000000"/>
          <w:spacing w:val="5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省（区、市）</w:t>
      </w:r>
      <w:r>
        <w:rPr>
          <w:rFonts w:ascii="Times New Roman"/>
          <w:color w:val="000000"/>
          <w:spacing w:val="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App</w:t>
      </w:r>
      <w:r>
        <w:rPr>
          <w:rFonts w:ascii="Times New Roman"/>
          <w:color w:val="000000"/>
          <w:spacing w:val="5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省（区、市）</w:t>
      </w:r>
      <w:r>
        <w:rPr>
          <w:rFonts w:ascii="Times New Roman"/>
          <w:color w:val="000000"/>
          <w:spacing w:val="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App</w:t>
      </w:r>
    </w:p>
    <w:p w14:paraId="287F628A">
      <w:pPr>
        <w:spacing w:before="402" w:after="0" w:line="220" w:lineRule="exact"/>
        <w:ind w:left="37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北京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北京通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浙江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浙里办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河北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冀时办</w:t>
      </w:r>
    </w:p>
    <w:p w14:paraId="6620A653">
      <w:pPr>
        <w:spacing w:before="413" w:after="0" w:line="220" w:lineRule="exact"/>
        <w:ind w:left="37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上海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随申办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广东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粤省事</w:t>
      </w:r>
      <w:r>
        <w:rPr>
          <w:rFonts w:ascii="Times New Roman"/>
          <w:color w:val="000000"/>
          <w:spacing w:val="7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内蒙古</w:t>
      </w:r>
      <w:r>
        <w:rPr>
          <w:rFonts w:ascii="Times New Roman"/>
          <w:color w:val="000000"/>
          <w:spacing w:val="7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蒙速办</w:t>
      </w:r>
    </w:p>
    <w:p w14:paraId="03A5848C">
      <w:pPr>
        <w:spacing w:before="413" w:after="0" w:line="220" w:lineRule="exact"/>
        <w:ind w:left="37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重庆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渝快办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吉林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吉事办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甘肃</w:t>
      </w:r>
      <w:r>
        <w:rPr>
          <w:rFonts w:ascii="Times New Roman"/>
          <w:color w:val="000000"/>
          <w:spacing w:val="8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甘快办</w:t>
      </w:r>
    </w:p>
    <w:p w14:paraId="6417096F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对此表解读最合理的是（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930839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区域特色文化有机融入政府服务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政府职能转变提升了基层治理能力</w:t>
      </w:r>
    </w:p>
    <w:p w14:paraId="77524B7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人工智能技术推动数字城市建设</w:t>
      </w:r>
      <w:r>
        <w:rPr>
          <w:rFonts w:ascii="Times New Roman"/>
          <w:color w:val="000000"/>
          <w:spacing w:val="15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信息化助力打造高效的服务型政府</w:t>
      </w:r>
    </w:p>
    <w:p w14:paraId="6E6F97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雅典进入城邦时代后，城邦逐步介入人们的日常生活，设置了专门官员来组织各种戏剧表演，评选优秀</w:t>
      </w:r>
    </w:p>
    <w:p w14:paraId="158C732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剧目。其中，《俄狄浦斯王》塑造了一位战胜怪物、拯救城邦、勇于担责、自我救赎的国王形象；《安提戈</w:t>
      </w:r>
    </w:p>
    <w:p w14:paraId="66FD8C3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涅》刻画了一位为城邦整体利益甘愿自我牺牲的人物。公民看戏不需要交钱，甚至还有观剧津贴。据此可</w:t>
      </w:r>
    </w:p>
    <w:p w14:paraId="408238B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C33BB0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雅典戏剧是古代希腊文学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最高成就</w:t>
      </w:r>
      <w:r>
        <w:rPr>
          <w:rFonts w:ascii="Times New Roman"/>
          <w:color w:val="000000"/>
          <w:spacing w:val="115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观看戏剧是雅典公民参政的重要方式</w:t>
      </w:r>
    </w:p>
    <w:p w14:paraId="15C2E36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戏剧承载着雅典城邦公民教育的功能</w:t>
      </w:r>
      <w:r>
        <w:rPr>
          <w:rFonts w:ascii="Times New Roman"/>
          <w:color w:val="000000"/>
          <w:spacing w:val="11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城邦主导了雅典公民的娱乐休闲活动</w:t>
      </w:r>
    </w:p>
    <w:p w14:paraId="4A3DA907">
      <w:pPr>
        <w:spacing w:before="36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0BA6FB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6A14C6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EAD5E2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6" o:spid="_x0000_s104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7" o:spid="_x0000_s1043" o:spt="75" type="#_x0000_t75" style="position:absolute;left:0pt;margin-left:341.85pt;margin-top:233.8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8" o:spid="_x0000_s1044" o:spt="75" type="#_x0000_t75" style="position:absolute;left:0pt;margin-left:47pt;margin-top:368.95pt;height:221.85pt;width:30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14. 1851 </w:t>
      </w:r>
      <w:r>
        <w:rPr>
          <w:rFonts w:ascii="宋体" w:hAnsi="宋体" w:cs="宋体"/>
          <w:color w:val="000000"/>
          <w:spacing w:val="-14"/>
          <w:sz w:val="21"/>
        </w:rPr>
        <w:t>年英国工程师罗伯茨回忆说，“（</w:t>
      </w:r>
      <w:r>
        <w:rPr>
          <w:rFonts w:ascii="Times New Roman"/>
          <w:color w:val="000000"/>
          <w:spacing w:val="0"/>
          <w:sz w:val="21"/>
        </w:rPr>
        <w:t xml:space="preserve">1824 </w:t>
      </w:r>
      <w:r>
        <w:rPr>
          <w:rFonts w:ascii="宋体" w:hAnsi="宋体" w:cs="宋体"/>
          <w:color w:val="000000"/>
          <w:spacing w:val="0"/>
          <w:sz w:val="21"/>
        </w:rPr>
        <w:t>年海德纺纱工人）罢工持续了三个月。当时，为了能够让纺</w:t>
      </w:r>
    </w:p>
    <w:p w14:paraId="26556FF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纱机自动运转，一整个棉纺业雇主的代表团都亲自等候，他们要求我将注意力转向纺纱”“机器一旦被制</w:t>
      </w:r>
    </w:p>
    <w:p w14:paraId="3423701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造出来，（雇主们）就会认为他们的目的已经达到了，也就是说。他们随时能用机器对工人施以惩罚”。据</w:t>
      </w:r>
    </w:p>
    <w:p w14:paraId="0856C85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此可知，雇主们意在（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196250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以技术革新应对工人反抗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组织联盟以镇压工人运动</w:t>
      </w:r>
    </w:p>
    <w:p w14:paraId="0396763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通过工厂制提高劳动效率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用机器发明带动工业革命</w:t>
      </w:r>
    </w:p>
    <w:p w14:paraId="0C6FE7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15. 1945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年初，英美两国希望苏联在击败德国后参加对日作战，并在雅尔塔会议上给予苏联诸多利益。美国</w:t>
      </w:r>
    </w:p>
    <w:p w14:paraId="4C0B4BF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1"/>
          <w:sz w:val="21"/>
        </w:rPr>
        <w:t>原子弹试验成功后，丘吉尔说：“我们不需要俄国人了。日本战事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结束不再倚赖于他们的大军源源参战……</w:t>
      </w:r>
    </w:p>
    <w:p w14:paraId="350AF62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因此那一连串的欧洲问题，可以就他们本身的利害并且按照联合国的大原则来处理。”据此可知，丘吉尔不</w:t>
      </w:r>
    </w:p>
    <w:p w14:paraId="4CA25F6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再需要苏联对日作战的主要目的是（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D46766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避免盟军更大规模的牺牲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遵照联合国原则处理问题</w:t>
      </w:r>
    </w:p>
    <w:p w14:paraId="147C0BF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阻止苏联在远东发展势力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在欧洲谋求更多战后利益</w:t>
      </w:r>
    </w:p>
    <w:p w14:paraId="25DF99C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16. 1956 </w:t>
      </w:r>
      <w:r>
        <w:rPr>
          <w:rFonts w:ascii="宋体" w:hAnsi="宋体" w:cs="宋体"/>
          <w:color w:val="000000"/>
          <w:spacing w:val="0"/>
          <w:sz w:val="21"/>
        </w:rPr>
        <w:t>年，世界各地发生了一系列波澜壮阔的事件。有学者就此撰写了一本著作，主要内容如下图所示：</w:t>
      </w:r>
    </w:p>
    <w:p w14:paraId="08D660A4">
      <w:pPr>
        <w:spacing w:before="327" w:after="0" w:line="220" w:lineRule="exact"/>
        <w:ind w:left="261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在欧洲</w:t>
      </w:r>
    </w:p>
    <w:p w14:paraId="1309CAF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苏共二十大召开，部分东欧国家希望摆脱苏联控制，走自己独立</w:t>
      </w:r>
    </w:p>
    <w:p w14:paraId="496781C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发展的道路。</w:t>
      </w:r>
    </w:p>
    <w:p w14:paraId="0B44F6E8">
      <w:pPr>
        <w:spacing w:before="248" w:after="0" w:line="220" w:lineRule="exact"/>
        <w:ind w:left="261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在非洲</w:t>
      </w:r>
    </w:p>
    <w:p w14:paraId="4829A4F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埃及宣布收回苏伊士运河的主权，突尼斯、摩洛哥、加纳等国独</w:t>
      </w:r>
    </w:p>
    <w:p w14:paraId="2320DAA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立运动风起云涌。</w:t>
      </w:r>
    </w:p>
    <w:p w14:paraId="1014E4C0">
      <w:pPr>
        <w:spacing w:before="248" w:after="0" w:line="220" w:lineRule="exact"/>
        <w:ind w:left="261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在美洲</w:t>
      </w:r>
    </w:p>
    <w:p w14:paraId="4CDE15A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美国，黑人民权运动蓬勃发展，古巴人民挥卫国家主权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斗争迅</w:t>
      </w:r>
    </w:p>
    <w:p w14:paraId="559E43C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速发展。</w:t>
      </w:r>
    </w:p>
    <w:p w14:paraId="729DEE8A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下列选项中，最适合该著作的书名是（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F9308E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</w:t>
      </w:r>
      <w:r>
        <w:rPr>
          <w:rFonts w:ascii="Times New Roman"/>
          <w:color w:val="000000"/>
          <w:spacing w:val="0"/>
          <w:sz w:val="21"/>
        </w:rPr>
        <w:t>1956</w:t>
      </w:r>
      <w:r>
        <w:rPr>
          <w:rFonts w:ascii="宋体" w:hAnsi="宋体" w:cs="宋体"/>
          <w:color w:val="000000"/>
          <w:spacing w:val="4"/>
          <w:sz w:val="21"/>
        </w:rPr>
        <w:t>：觉醒的世界》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</w:t>
      </w:r>
      <w:r>
        <w:rPr>
          <w:rFonts w:ascii="Times New Roman"/>
          <w:color w:val="000000"/>
          <w:spacing w:val="0"/>
          <w:sz w:val="21"/>
        </w:rPr>
        <w:t>1956</w:t>
      </w:r>
      <w:r>
        <w:rPr>
          <w:rFonts w:ascii="宋体" w:hAnsi="宋体" w:cs="宋体"/>
          <w:color w:val="000000"/>
          <w:spacing w:val="0"/>
          <w:sz w:val="21"/>
        </w:rPr>
        <w:t>：混乱的世界》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</w:t>
      </w:r>
      <w:r>
        <w:rPr>
          <w:rFonts w:ascii="Times New Roman"/>
          <w:color w:val="000000"/>
          <w:spacing w:val="0"/>
          <w:sz w:val="21"/>
        </w:rPr>
        <w:t>1956</w:t>
      </w:r>
      <w:r>
        <w:rPr>
          <w:rFonts w:ascii="宋体" w:hAnsi="宋体" w:cs="宋体"/>
          <w:color w:val="000000"/>
          <w:spacing w:val="0"/>
          <w:sz w:val="21"/>
        </w:rPr>
        <w:t>：和平的世界》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</w:t>
      </w:r>
      <w:r>
        <w:rPr>
          <w:rFonts w:ascii="Times New Roman"/>
          <w:color w:val="000000"/>
          <w:spacing w:val="0"/>
          <w:sz w:val="21"/>
        </w:rPr>
        <w:t>1956</w:t>
      </w:r>
      <w:r>
        <w:rPr>
          <w:rFonts w:ascii="宋体" w:hAnsi="宋体" w:cs="宋体"/>
          <w:color w:val="000000"/>
          <w:spacing w:val="0"/>
          <w:sz w:val="21"/>
        </w:rPr>
        <w:t>：冷战的世界》</w:t>
      </w:r>
    </w:p>
    <w:p w14:paraId="503F718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某探险队在库伦北发掘古墓三群，凡二百二十一座。所发现之绣织物，有中国、波斯及希腊式，与其他</w:t>
      </w:r>
    </w:p>
    <w:p w14:paraId="5943C4D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考古发现相印证，俱为汉代物品；再由所挖掘之五铢钱、汉镜及汉通行隶字，乃证明其为汉代之墓。彼时，</w:t>
      </w:r>
    </w:p>
    <w:p w14:paraId="6BB71B1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匈奴正占据此地，故可证为匈奴墓。对此解读最合理的是（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2F8E70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全球视野有利于推动历史认识的深化</w:t>
      </w:r>
    </w:p>
    <w:p w14:paraId="246F12E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出土文物须结合特定的时空予以考察</w:t>
      </w:r>
    </w:p>
    <w:p w14:paraId="2C74363B">
      <w:pPr>
        <w:spacing w:before="39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3FE8F5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4034F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4C7FED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9" o:spid="_x0000_s104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0" o:spid="_x0000_s1046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1" o:spid="_x0000_s10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实物史料的运用需要借助考古学方法</w:t>
      </w:r>
    </w:p>
    <w:p w14:paraId="2ECBC3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多元阐释有助于认识考古资料的价值</w:t>
      </w:r>
    </w:p>
    <w:p w14:paraId="366A91F5">
      <w:pPr>
        <w:spacing w:before="174" w:after="0" w:line="250" w:lineRule="exact"/>
        <w:ind w:left="355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第二部分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非选择题部分</w:t>
      </w:r>
    </w:p>
    <w:p w14:paraId="5ED15E5A">
      <w:pPr>
        <w:spacing w:before="10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三、非选择题（本大题共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分）</w:t>
      </w:r>
    </w:p>
    <w:p w14:paraId="06EF1400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7E1472D3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西汉初年的地方行政制度采取郡县和分封并行制，诸侯王国以下依然是郡县，每个王国领有</w:t>
      </w:r>
    </w:p>
    <w:p w14:paraId="67BBDCD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郡县数不等。针对分封出现的尾大不掉隐患，文帝接受贾谊“众建诸侯而少其力”的策略，景帝采纳晁错</w:t>
      </w:r>
    </w:p>
    <w:p w14:paraId="27264BF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“削藩”的主张。西汉郡国置废分合，有以下几个代表性断面：高祖五年，异姓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楷体" w:hAnsi="楷体" w:cs="楷体"/>
          <w:color w:val="000000"/>
          <w:spacing w:val="0"/>
          <w:sz w:val="21"/>
        </w:rPr>
        <w:t>王国，皇帝自领</w:t>
      </w:r>
      <w:r>
        <w:rPr>
          <w:rFonts w:ascii="Times New Roman"/>
          <w:color w:val="000000"/>
          <w:spacing w:val="0"/>
          <w:sz w:val="21"/>
        </w:rPr>
        <w:t xml:space="preserve"> 24 </w:t>
      </w:r>
      <w:r>
        <w:rPr>
          <w:rFonts w:ascii="楷体" w:hAnsi="楷体" w:cs="楷体"/>
          <w:color w:val="000000"/>
          <w:spacing w:val="0"/>
          <w:sz w:val="21"/>
        </w:rPr>
        <w:t>郡；</w:t>
      </w:r>
    </w:p>
    <w:p w14:paraId="76FEEB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高祖十二年，同姓</w:t>
      </w:r>
      <w:r>
        <w:rPr>
          <w:rFonts w:ascii="Times New Roman"/>
          <w:color w:val="000000"/>
          <w:spacing w:val="0"/>
          <w:sz w:val="21"/>
        </w:rPr>
        <w:t xml:space="preserve"> 9 </w:t>
      </w:r>
      <w:r>
        <w:rPr>
          <w:rFonts w:ascii="楷体" w:hAnsi="楷体" w:cs="楷体"/>
          <w:color w:val="000000"/>
          <w:spacing w:val="0"/>
          <w:sz w:val="21"/>
        </w:rPr>
        <w:t>王国、异姓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楷体" w:hAnsi="楷体" w:cs="楷体"/>
          <w:color w:val="000000"/>
          <w:spacing w:val="0"/>
          <w:sz w:val="21"/>
        </w:rPr>
        <w:t>王国，皇帝自领</w:t>
      </w:r>
      <w:r>
        <w:rPr>
          <w:rFonts w:ascii="Times New Roman"/>
          <w:color w:val="000000"/>
          <w:spacing w:val="0"/>
          <w:sz w:val="21"/>
        </w:rPr>
        <w:t xml:space="preserve"> 15 </w:t>
      </w:r>
      <w:r>
        <w:rPr>
          <w:rFonts w:ascii="楷体" w:hAnsi="楷体" w:cs="楷体"/>
          <w:color w:val="000000"/>
          <w:spacing w:val="0"/>
          <w:sz w:val="21"/>
        </w:rPr>
        <w:t>郡；文帝十六年，</w:t>
      </w:r>
      <w:r>
        <w:rPr>
          <w:rFonts w:ascii="Times New Roman"/>
          <w:color w:val="000000"/>
          <w:spacing w:val="0"/>
          <w:sz w:val="21"/>
        </w:rPr>
        <w:t xml:space="preserve">17 </w:t>
      </w:r>
      <w:r>
        <w:rPr>
          <w:rFonts w:ascii="楷体" w:hAnsi="楷体" w:cs="楷体"/>
          <w:color w:val="000000"/>
          <w:spacing w:val="0"/>
          <w:sz w:val="21"/>
        </w:rPr>
        <w:t>王国</w:t>
      </w:r>
      <w:r>
        <w:rPr>
          <w:rFonts w:ascii="Times New Roman"/>
          <w:color w:val="000000"/>
          <w:spacing w:val="0"/>
          <w:sz w:val="21"/>
        </w:rPr>
        <w:t xml:space="preserve"> 24 </w:t>
      </w:r>
      <w:r>
        <w:rPr>
          <w:rFonts w:ascii="楷体" w:hAnsi="楷体" w:cs="楷体"/>
          <w:color w:val="000000"/>
          <w:spacing w:val="0"/>
          <w:sz w:val="21"/>
        </w:rPr>
        <w:t>郡；景帝中元六年，</w:t>
      </w:r>
      <w:r>
        <w:rPr>
          <w:rFonts w:ascii="Times New Roman"/>
          <w:color w:val="000000"/>
          <w:spacing w:val="0"/>
          <w:sz w:val="21"/>
        </w:rPr>
        <w:t>25</w:t>
      </w:r>
    </w:p>
    <w:p w14:paraId="790CA4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王国</w:t>
      </w:r>
      <w:r>
        <w:rPr>
          <w:rFonts w:ascii="Times New Roman"/>
          <w:color w:val="000000"/>
          <w:spacing w:val="0"/>
          <w:sz w:val="21"/>
        </w:rPr>
        <w:t xml:space="preserve"> 43 </w:t>
      </w:r>
      <w:r>
        <w:rPr>
          <w:rFonts w:ascii="楷体" w:hAnsi="楷体" w:cs="楷体"/>
          <w:color w:val="000000"/>
          <w:spacing w:val="0"/>
          <w:sz w:val="21"/>
        </w:rPr>
        <w:t>郡；武帝太初元年，</w:t>
      </w:r>
      <w:r>
        <w:rPr>
          <w:rFonts w:ascii="Times New Roman"/>
          <w:color w:val="000000"/>
          <w:spacing w:val="0"/>
          <w:sz w:val="21"/>
        </w:rPr>
        <w:t xml:space="preserve">109 </w:t>
      </w:r>
      <w:r>
        <w:rPr>
          <w:rFonts w:ascii="楷体" w:hAnsi="楷体" w:cs="楷体"/>
          <w:color w:val="000000"/>
          <w:spacing w:val="0"/>
          <w:sz w:val="21"/>
        </w:rPr>
        <w:t>郡国。</w:t>
      </w:r>
    </w:p>
    <w:p w14:paraId="5A6023ED">
      <w:pPr>
        <w:spacing w:before="226" w:after="0" w:line="243" w:lineRule="exact"/>
        <w:ind w:left="218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据北京日报社理论部主编《天下有治；长治久安，几千年的不变追求》等整理</w:t>
      </w:r>
    </w:p>
    <w:p w14:paraId="1265279D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中国古代地方行政制度变迁中，内外轻重的转换，关乎国家治理兴衰。东汉末年，刺史权重，</w:t>
      </w:r>
    </w:p>
    <w:p w14:paraId="6AD9FA2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军阀割据。西晋实行分封制，在八王之乱后覆灭。唐中期增置军镇，安史之乱后，藩镇割据。在中央集权</w:t>
      </w:r>
    </w:p>
    <w:p w14:paraId="3BBD447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与地方分权的反复摸索中，中央集权逐渐成为权力分配的主流，而这一历史性的关键转折在宋朝。宋朝内</w:t>
      </w:r>
    </w:p>
    <w:p w14:paraId="7075D8B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重外轻，虽一亡于元，但其以加强中央集权为宗旨的地方行政管理体系，为元、明、清三朝所沿承。宋后</w:t>
      </w:r>
    </w:p>
    <w:p w14:paraId="27E1714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诸朝，不再出现因割据而产生分裂局面，然内重外轻之弊亦始终存在。</w:t>
      </w:r>
    </w:p>
    <w:p w14:paraId="5CC26550">
      <w:pPr>
        <w:spacing w:before="237" w:after="0" w:line="243" w:lineRule="exact"/>
        <w:ind w:left="55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摘编自周振鹤《中国地方行政制度史》等</w:t>
      </w:r>
    </w:p>
    <w:p w14:paraId="1760940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）根据材料一，结合所学，概括西汉分封制与西周分封制的不同，指出导致上述郡国数量变化的政策因</w:t>
      </w:r>
    </w:p>
    <w:p w14:paraId="1EEA921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素。</w:t>
      </w:r>
    </w:p>
    <w:p w14:paraId="2C2BDF2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）根据材料二，概括“历史性的关键转折出现在宋朝”之说的理由。综合材料一、二，谈谈你对内重外</w:t>
      </w:r>
    </w:p>
    <w:p w14:paraId="65A4A5F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轻问题的认识。</w:t>
      </w:r>
    </w:p>
    <w:p w14:paraId="4388B4A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467AC38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谓李鸿章不知洋务乎？中国洋务人士，吾未见有其比也。谓李鸿章真知洋务乎？何以他国以洋</w:t>
      </w:r>
    </w:p>
    <w:p w14:paraId="0B35ED0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务兴，而吾国以洋务衰也？吾一言以断之，则李鸿章坐知有洋务，而不知有国务，以为洋人之所务者，仅</w:t>
      </w:r>
    </w:p>
    <w:p w14:paraId="1089D9E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于知彼云云也。其于西国所以富强之原，茫乎未有闻焉，以为吾中国之政教文物风俗，无一不优于他国，</w:t>
      </w:r>
    </w:p>
    <w:p w14:paraId="132B534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所不及者，惟枪耳炮耳铁路耳机器耳，吾但学此，而洋务之能事毕矣。殊不知今日世界之竞争，不在国家</w:t>
      </w:r>
    </w:p>
    <w:p w14:paraId="7726A23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而在国民；殊不知泰西诸国所以能化畛域、除故习、布新宪、致富强者，其机恒发自下而非发自上。而求</w:t>
      </w:r>
    </w:p>
    <w:p w14:paraId="0DE525E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其此机之何以能发，则必有一二先觉有大力者，从而导其辕而鼓其锋。风气既成，然后因而用之，未有不</w:t>
      </w:r>
    </w:p>
    <w:p w14:paraId="6285BB4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能济者也。</w:t>
      </w:r>
    </w:p>
    <w:p w14:paraId="66952757">
      <w:pPr>
        <w:spacing w:before="237" w:after="0" w:line="243" w:lineRule="exact"/>
        <w:ind w:left="47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-6"/>
          <w:sz w:val="21"/>
        </w:rPr>
        <w:t>摘选自梁启超《中国四十年来大事记》（</w:t>
      </w:r>
      <w:r>
        <w:rPr>
          <w:rFonts w:ascii="Times New Roman"/>
          <w:color w:val="000000"/>
          <w:spacing w:val="0"/>
          <w:sz w:val="21"/>
        </w:rPr>
        <w:t xml:space="preserve">1901 </w:t>
      </w:r>
      <w:r>
        <w:rPr>
          <w:rFonts w:ascii="楷体" w:hAnsi="楷体" w:cs="楷体"/>
          <w:color w:val="000000"/>
          <w:spacing w:val="0"/>
          <w:sz w:val="21"/>
        </w:rPr>
        <w:t>年）</w:t>
      </w:r>
    </w:p>
    <w:p w14:paraId="1F288A6E">
      <w:pPr>
        <w:spacing w:before="30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8E776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4CD2D7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083F9C1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0FEA7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BB6FCAA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2" o:spid="_x0000_s104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3" o:spid="_x0000_s104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4" o:spid="_x0000_s105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5" o:spid="_x0000_s1051" o:spt="75" type="#_x0000_t75" style="position:absolute;left:0pt;margin-left:53pt;margin-top:137.1pt;height:185.85pt;width:269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结合材料和所学，辨析梁启超对李鸿章兴办洋务的评价。</w:t>
      </w:r>
    </w:p>
    <w:p w14:paraId="6A4FD3A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45789BB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</w:p>
    <w:p w14:paraId="4F198F00">
      <w:pPr>
        <w:spacing w:before="3983" w:after="0" w:line="243" w:lineRule="exact"/>
        <w:ind w:left="234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据[美]彭慕兰等《贸易打造的世界：</w:t>
      </w:r>
      <w:r>
        <w:rPr>
          <w:rFonts w:ascii="Times New Roman"/>
          <w:color w:val="000000"/>
          <w:spacing w:val="0"/>
          <w:sz w:val="21"/>
        </w:rPr>
        <w:t xml:space="preserve">1400 </w:t>
      </w:r>
      <w:r>
        <w:rPr>
          <w:rFonts w:ascii="楷体" w:hAnsi="楷体" w:cs="楷体"/>
          <w:color w:val="000000"/>
          <w:spacing w:val="0"/>
          <w:sz w:val="21"/>
        </w:rPr>
        <w:t>年至今的社会、文化和世界经济》</w:t>
      </w:r>
    </w:p>
    <w:p w14:paraId="68034CF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在亚欧大陆，葡萄牙人率先开启了海洋帝国的路线，建立了一连串据点。荷兰、英国后来居</w:t>
      </w:r>
    </w:p>
    <w:p w14:paraId="5BE6608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上，其中一个秘诀是成立“东印度公司”。</w:t>
      </w:r>
    </w:p>
    <w:p w14:paraId="6A001763">
      <w:pPr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世纪的时候，英国东印度公司就开始不断索要地盘。英国人在印度各地，实行双重管理制度，即</w:t>
      </w:r>
    </w:p>
    <w:p w14:paraId="31446DE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保留土邦王公，地方事务由原有的地方政府管理，东印度公司负责维持治安，征收土地税。但东印度公司</w:t>
      </w:r>
    </w:p>
    <w:p w14:paraId="2995E87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的兴趣需要是攫取财富，除了税收和贸易，东印度公司还进行赤裸裸的直接搜刮和抢劫，从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世纪后期到</w:t>
      </w:r>
    </w:p>
    <w:p w14:paraId="52EFC2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19 </w:t>
      </w:r>
      <w:r>
        <w:rPr>
          <w:rFonts w:ascii="楷体" w:hAnsi="楷体" w:cs="楷体"/>
          <w:color w:val="000000"/>
          <w:spacing w:val="0"/>
          <w:sz w:val="21"/>
        </w:rPr>
        <w:t>世纪初，在印度共榨取了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亿英镑。到</w:t>
      </w:r>
      <w:r>
        <w:rPr>
          <w:rFonts w:ascii="Times New Roman"/>
          <w:color w:val="000000"/>
          <w:spacing w:val="0"/>
          <w:sz w:val="21"/>
        </w:rPr>
        <w:t xml:space="preserve"> 19 </w:t>
      </w:r>
      <w:r>
        <w:rPr>
          <w:rFonts w:ascii="楷体" w:hAnsi="楷体" w:cs="楷体"/>
          <w:color w:val="000000"/>
          <w:spacing w:val="0"/>
          <w:sz w:val="21"/>
        </w:rPr>
        <w:t>世纪中叶，东印度公司被解散，印度进入英国政府直接统治</w:t>
      </w:r>
    </w:p>
    <w:p w14:paraId="3E0B129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时期。</w:t>
      </w:r>
    </w:p>
    <w:p w14:paraId="5E7EB610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从葡萄牙、西班牙、荷兰、法国，一直到英国，这些海洋帝国后来都把大面积的土地视作重要的生命</w:t>
      </w:r>
    </w:p>
    <w:p w14:paraId="76CDCEA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线。它们到亚非拉地区，不但为了贸易，更是为了攫取更多的资源。由此，它们之间的竞争日益加剧，最</w:t>
      </w:r>
    </w:p>
    <w:p w14:paraId="26C0E0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终导致了一系列帝国主义战争。</w:t>
      </w:r>
    </w:p>
    <w:p w14:paraId="7F4DCEA1">
      <w:pPr>
        <w:spacing w:before="237" w:after="0" w:line="243" w:lineRule="exact"/>
        <w:ind w:left="533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摘编自葛兆光主编《从中国出发的全球史》</w:t>
      </w:r>
    </w:p>
    <w:p w14:paraId="0486D2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）根据材料一，概括葡萄牙据点的分布特征，结合所学，分析这些据点形成的主要原因。</w:t>
      </w:r>
    </w:p>
    <w:p w14:paraId="3D4155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）根据材料二，指出英国东印度公司抢夺印度财富的主要手段。综合材料一、二，结合所学，概括“海</w:t>
      </w:r>
    </w:p>
    <w:p w14:paraId="0D0265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洋帝国”扩张对</w:t>
      </w:r>
      <w:r>
        <w:rPr>
          <w:rFonts w:ascii="Times New Roman"/>
          <w:color w:val="000000"/>
          <w:spacing w:val="0"/>
          <w:sz w:val="21"/>
        </w:rPr>
        <w:t xml:space="preserve"> 19 </w:t>
      </w:r>
      <w:r>
        <w:rPr>
          <w:rFonts w:ascii="宋体" w:hAnsi="宋体" w:cs="宋体"/>
          <w:color w:val="000000"/>
          <w:spacing w:val="0"/>
          <w:sz w:val="21"/>
        </w:rPr>
        <w:t>世纪世界格局的影响。</w:t>
      </w:r>
    </w:p>
    <w:p w14:paraId="52FE7E0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3AB01F56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柏林国立图书馆“汉学书库”的手稿善本部，藏有八国联军侵华时德国从中国抢劫的大批图书。</w:t>
      </w:r>
    </w:p>
    <w:p w14:paraId="416849B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3"/>
          <w:sz w:val="21"/>
        </w:rPr>
        <w:t>1911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年，德国人为这批图书编制了一本目录，收书</w:t>
      </w:r>
      <w:r>
        <w:rPr>
          <w:rFonts w:ascii="Times New Roman"/>
          <w:color w:val="000000"/>
          <w:spacing w:val="0"/>
          <w:sz w:val="21"/>
        </w:rPr>
        <w:t xml:space="preserve"> 80 </w:t>
      </w:r>
      <w:r>
        <w:rPr>
          <w:rFonts w:ascii="楷体" w:hAnsi="楷体" w:cs="楷体"/>
          <w:color w:val="000000"/>
          <w:spacing w:val="-10"/>
          <w:sz w:val="21"/>
        </w:rPr>
        <w:t>种（廿四史为一种）：</w:t>
      </w:r>
    </w:p>
    <w:p w14:paraId="1CF03A0C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楷体" w:hAnsi="楷体" w:cs="楷体"/>
          <w:color w:val="000000"/>
          <w:spacing w:val="-10"/>
          <w:sz w:val="21"/>
        </w:rPr>
        <w:t>）宋版《文苑英华》。</w:t>
      </w:r>
    </w:p>
    <w:p w14:paraId="5BCE0723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2EFE81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64F8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22D8B7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80097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2D860FE4">
      <w:pPr>
        <w:spacing w:before="0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6" o:spid="_x0000_s105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7" o:spid="_x0000_s1053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8" o:spid="_x0000_s105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楷体" w:hAnsi="楷体" w:cs="楷体"/>
          <w:color w:val="000000"/>
          <w:spacing w:val="-7"/>
          <w:sz w:val="21"/>
        </w:rPr>
        <w:t>）《通鉴纪事本末》，黄色绸缎函套上书“宋刻通鉴纪事本末”。</w:t>
      </w:r>
    </w:p>
    <w:p w14:paraId="5243B05F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楷体" w:hAnsi="楷体" w:cs="楷体"/>
          <w:color w:val="000000"/>
          <w:spacing w:val="-13"/>
          <w:sz w:val="21"/>
        </w:rPr>
        <w:t>）元刻《诗经》。</w:t>
      </w:r>
    </w:p>
    <w:p w14:paraId="7AA36750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楷体" w:hAnsi="楷体" w:cs="楷体"/>
          <w:color w:val="000000"/>
          <w:spacing w:val="-12"/>
          <w:sz w:val="21"/>
        </w:rPr>
        <w:t>）《钦定古今图书集成》，雍正四年（</w:t>
      </w:r>
      <w:r>
        <w:rPr>
          <w:rFonts w:ascii="Times New Roman"/>
          <w:color w:val="000000"/>
          <w:spacing w:val="0"/>
          <w:sz w:val="21"/>
        </w:rPr>
        <w:t>1726</w:t>
      </w:r>
      <w:r>
        <w:rPr>
          <w:rFonts w:ascii="楷体" w:hAnsi="楷体" w:cs="楷体"/>
          <w:color w:val="000000"/>
          <w:spacing w:val="0"/>
          <w:sz w:val="21"/>
        </w:rPr>
        <w:t>）刊本。</w:t>
      </w:r>
    </w:p>
    <w:p w14:paraId="533C21F9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楷体" w:hAnsi="楷体" w:cs="楷体"/>
          <w:color w:val="000000"/>
          <w:spacing w:val="0"/>
          <w:sz w:val="21"/>
        </w:rPr>
        <w:t>）廿四史，同治八年（</w:t>
      </w:r>
      <w:r>
        <w:rPr>
          <w:rFonts w:ascii="Times New Roman"/>
          <w:color w:val="000000"/>
          <w:spacing w:val="0"/>
          <w:sz w:val="21"/>
        </w:rPr>
        <w:t>1869</w:t>
      </w:r>
      <w:r>
        <w:rPr>
          <w:rFonts w:ascii="楷体" w:hAnsi="楷体" w:cs="楷体"/>
          <w:color w:val="000000"/>
          <w:spacing w:val="0"/>
          <w:sz w:val="21"/>
        </w:rPr>
        <w:t>）刊本。</w:t>
      </w:r>
    </w:p>
    <w:p w14:paraId="7E8A6CCA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0"/>
          <w:sz w:val="21"/>
        </w:rPr>
        <w:t>……</w:t>
      </w:r>
    </w:p>
    <w:p w14:paraId="54EF7BF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这些珍贵古籍，理应归还中国。不幸的是，在第二次世界大战期间，这批图书部分毁于战火，还有一</w:t>
      </w:r>
    </w:p>
    <w:p w14:paraId="085B544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些散失他乡。</w:t>
      </w:r>
    </w:p>
    <w:p w14:paraId="26178434">
      <w:pPr>
        <w:spacing w:before="237" w:after="0" w:line="243" w:lineRule="exact"/>
        <w:ind w:left="449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摘编自张国刚《柏林国立图书馆“汉学书库”说略》</w:t>
      </w:r>
    </w:p>
    <w:p w14:paraId="3F767D8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综合材料信息，提炼主题，结合所学，围绕该主题写一篇历史小论文。（要求：自拟标题，立论正确，史论</w:t>
      </w:r>
    </w:p>
    <w:p w14:paraId="0CE9F5C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结合，逻辑严谨，表述成文）</w:t>
      </w:r>
    </w:p>
    <w:p w14:paraId="70119FFE">
      <w:pPr>
        <w:spacing w:before="948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8C88652D-DA52-43D8-A4E1-68CE41C9655E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AE6BB24E-8726-4ADC-9466-5D9D2E9414A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0B4CF18-5C16-40BD-931B-3CFD2A27817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9F26A203-E214-4BE4-A504-60957121FC0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E134DCF-41E0-4D88-B6E9-4A1090A52FE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C900DD7-046E-47C9-9660-0530A5E5BBA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E71FEC94-CE95-4511-90C1-D9D3D2C1B58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89914CD7-5A2C-45AA-BBA6-9A1EB0CA24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29A7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9F21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48A7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F20266A"/>
    <w:rsid w:val="421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14</Pages>
  <Words>4893</Words>
  <Characters>5089</Characters>
  <Lines>0</Lines>
  <Paragraphs>179</Paragraphs>
  <TotalTime>3</TotalTime>
  <ScaleCrop>false</ScaleCrop>
  <LinksUpToDate>false</LinksUpToDate>
  <CharactersWithSpaces>5354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2026-02-02T18:00:00Z</dcterms:created>
  <dc:creator>Administrator</dc:creator>
  <cp:lastModifiedBy>上帝掷骰子吗</cp:lastModifiedBy>
  <dcterms:modified xsi:type="dcterms:W3CDTF">2026-09-18T16:48:19Z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D83590211EA64FCD8CCE827B7D85A63D_12</vt:lpwstr>
  </property>
</Properties>
</file>