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C0DB9">
      <w:pPr>
        <w:spacing w:before="0" w:after="0" w:line="359" w:lineRule="exact"/>
        <w:ind w:left="1754"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53pt;margin-top:492pt;height:148.35pt;width:91.3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 o:spid="_x0000_s1030" o:spt="75" type="#_x0000_t75" style="position:absolute;left:0pt;margin-left:47pt;margin-top:712.65pt;height:34.25pt;width:419.2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宋体" w:hAnsi="宋体" w:cs="宋体"/>
          <w:color w:val="000000"/>
          <w:spacing w:val="0"/>
          <w:sz w:val="32"/>
        </w:rPr>
        <w:t>湖南省</w:t>
      </w:r>
      <w:r>
        <w:rPr>
          <w:rFonts w:ascii="Times New Roman"/>
          <w:color w:val="000000"/>
          <w:spacing w:val="0"/>
          <w:sz w:val="32"/>
        </w:rPr>
        <w:t xml:space="preserve"> </w:t>
      </w:r>
      <w:r>
        <w:rPr>
          <w:rFonts w:ascii="Times New Roman"/>
          <w:b/>
          <w:color w:val="000000"/>
          <w:spacing w:val="-2"/>
          <w:sz w:val="32"/>
        </w:rPr>
        <w:t>2026</w:t>
      </w:r>
      <w:r>
        <w:rPr>
          <w:rFonts w:ascii="Times New Roman"/>
          <w:b/>
          <w:color w:val="000000"/>
          <w:spacing w:val="1"/>
          <w:sz w:val="32"/>
        </w:rPr>
        <w:t xml:space="preserve"> </w:t>
      </w:r>
      <w:r>
        <w:rPr>
          <w:rFonts w:ascii="宋体" w:hAnsi="宋体" w:cs="宋体"/>
          <w:color w:val="000000"/>
          <w:spacing w:val="0"/>
          <w:sz w:val="32"/>
        </w:rPr>
        <w:t>年普通高中学业水平选择性考试</w:t>
      </w:r>
    </w:p>
    <w:p w14:paraId="6AAAE098">
      <w:pPr>
        <w:spacing w:before="282" w:after="0" w:line="325" w:lineRule="exact"/>
        <w:ind w:left="4234" w:right="0" w:firstLine="0"/>
        <w:jc w:val="left"/>
        <w:rPr>
          <w:rFonts w:ascii="Times New Roman"/>
          <w:color w:val="000000"/>
          <w:spacing w:val="0"/>
          <w:sz w:val="32"/>
        </w:rPr>
      </w:pPr>
      <w:r>
        <w:rPr>
          <w:rFonts w:ascii="宋体" w:hAnsi="宋体" w:cs="宋体"/>
          <w:color w:val="000000"/>
          <w:spacing w:val="0"/>
          <w:sz w:val="32"/>
        </w:rPr>
        <w:t>历史试题</w:t>
      </w:r>
    </w:p>
    <w:p w14:paraId="3809FA6D">
      <w:pPr>
        <w:spacing w:before="208"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48D7A528">
      <w:pPr>
        <w:spacing w:before="108"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．答卷前，考生务必将自己的姓名、准考证号填写在本试题卷和答题卡上。</w:t>
      </w:r>
    </w:p>
    <w:p w14:paraId="0B299DA1">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384BFD7F">
      <w:pPr>
        <w:spacing w:before="108"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651F74DA">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本试题卷上无效。</w:t>
      </w:r>
    </w:p>
    <w:p w14:paraId="71FA167B">
      <w:pPr>
        <w:spacing w:before="108"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．考试结束后，将本试题卷和答题卡一并交回。</w:t>
      </w:r>
    </w:p>
    <w:p w14:paraId="18B44841">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16</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48</w:t>
      </w:r>
      <w:r>
        <w:rPr>
          <w:rFonts w:ascii="Times New Roman"/>
          <w:b/>
          <w:color w:val="000000"/>
          <w:spacing w:val="0"/>
          <w:sz w:val="24"/>
        </w:rPr>
        <w:t xml:space="preserve"> </w:t>
      </w:r>
      <w:r>
        <w:rPr>
          <w:rFonts w:ascii="宋体" w:hAnsi="宋体" w:cs="宋体"/>
          <w:color w:val="000000"/>
          <w:spacing w:val="1"/>
          <w:sz w:val="24"/>
        </w:rPr>
        <w:t>分。在每小题给出的四个选项中，只有一</w:t>
      </w:r>
    </w:p>
    <w:p w14:paraId="3BA3F0FE">
      <w:pPr>
        <w:spacing w:before="108"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41F43711">
      <w:pPr>
        <w:spacing w:before="173"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甲骨文中的“乡”，释义为有血缘关系的族人共食。西周时期，乡是国人居住的聚落，燕召公曾“巡行</w:t>
      </w:r>
    </w:p>
    <w:p w14:paraId="35D35FA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乡邑”。到战国时期，各诸侯国普遍设置了乡这一基层管理组织。上述变化反映出（</w:t>
      </w:r>
      <w:r>
        <w:rPr>
          <w:rFonts w:ascii="Times New Roman"/>
          <w:color w:val="000000"/>
          <w:spacing w:val="263"/>
          <w:sz w:val="21"/>
        </w:rPr>
        <w:t xml:space="preserve"> </w:t>
      </w:r>
      <w:r>
        <w:rPr>
          <w:rFonts w:ascii="宋体" w:hAnsi="宋体" w:cs="宋体"/>
          <w:color w:val="000000"/>
          <w:spacing w:val="0"/>
          <w:sz w:val="21"/>
        </w:rPr>
        <w:t>）</w:t>
      </w:r>
    </w:p>
    <w:p w14:paraId="06F64E6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宗法制度渐趋严密</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血缘政治逐步转型</w:t>
      </w:r>
    </w:p>
    <w:p w14:paraId="35FACA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乡里制度已经建立</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中央集权日益衰落</w:t>
      </w:r>
    </w:p>
    <w:p w14:paraId="3F9944B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悬泉置是汉代敦煌郡的一处邮传机构，其遗址出土的《悬泉汉简》中留存了一些马匹的记录，包括马名、</w:t>
      </w:r>
    </w:p>
    <w:p w14:paraId="534246B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性别、年龄、体貌特征、伤病死亡等信息。由此可知当时（</w:t>
      </w:r>
      <w:r>
        <w:rPr>
          <w:rFonts w:ascii="Times New Roman"/>
          <w:color w:val="000000"/>
          <w:spacing w:val="263"/>
          <w:sz w:val="21"/>
        </w:rPr>
        <w:t xml:space="preserve"> </w:t>
      </w:r>
      <w:r>
        <w:rPr>
          <w:rFonts w:ascii="宋体" w:hAnsi="宋体" w:cs="宋体"/>
          <w:color w:val="000000"/>
          <w:spacing w:val="0"/>
          <w:sz w:val="21"/>
        </w:rPr>
        <w:t>）</w:t>
      </w:r>
    </w:p>
    <w:p w14:paraId="18E0BE9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文书制度严密</w:t>
      </w:r>
      <w:r>
        <w:rPr>
          <w:rFonts w:ascii="Times New Roman"/>
          <w:color w:val="000000"/>
          <w:spacing w:val="81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边境贸易活跃</w:t>
      </w:r>
      <w:r>
        <w:rPr>
          <w:rFonts w:ascii="Times New Roman"/>
          <w:color w:val="000000"/>
          <w:spacing w:val="82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汉匈战争频繁</w:t>
      </w:r>
      <w:r>
        <w:rPr>
          <w:rFonts w:ascii="Times New Roman"/>
          <w:color w:val="000000"/>
          <w:spacing w:val="82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自然条件恶劣</w:t>
      </w:r>
    </w:p>
    <w:p w14:paraId="754E200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下图为东魏时期的蝉冠菩萨像。蝉冠是汉代侍从官佩戴的帽子，至魏晋时期日渐成为权贵的象征。这尊</w:t>
      </w:r>
    </w:p>
    <w:p w14:paraId="20BCDBF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菩萨像反映出（</w:t>
      </w:r>
      <w:r>
        <w:rPr>
          <w:rFonts w:ascii="Times New Roman"/>
          <w:color w:val="000000"/>
          <w:spacing w:val="263"/>
          <w:sz w:val="21"/>
        </w:rPr>
        <w:t xml:space="preserve"> </w:t>
      </w:r>
      <w:r>
        <w:rPr>
          <w:rFonts w:ascii="宋体" w:hAnsi="宋体" w:cs="宋体"/>
          <w:color w:val="000000"/>
          <w:spacing w:val="0"/>
          <w:sz w:val="21"/>
        </w:rPr>
        <w:t>）</w:t>
      </w:r>
    </w:p>
    <w:p w14:paraId="3452908D">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北朝佛教注重等级观念</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汉晋时期蝉崇拜的盛行</w:t>
      </w:r>
    </w:p>
    <w:p w14:paraId="641366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魏晋官僚制度发展成熟</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佛教艺术融合士族文化</w:t>
      </w:r>
    </w:p>
    <w:p w14:paraId="2E3449B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下表是唐开元以来官方设立的部分“场”的信息。这反映出（</w:t>
      </w:r>
      <w:r>
        <w:rPr>
          <w:rFonts w:ascii="Times New Roman"/>
          <w:color w:val="000000"/>
          <w:spacing w:val="263"/>
          <w:sz w:val="21"/>
        </w:rPr>
        <w:t xml:space="preserve"> </w:t>
      </w:r>
      <w:r>
        <w:rPr>
          <w:rFonts w:ascii="宋体" w:hAnsi="宋体" w:cs="宋体"/>
          <w:color w:val="000000"/>
          <w:spacing w:val="0"/>
          <w:sz w:val="21"/>
        </w:rPr>
        <w:t>）</w:t>
      </w:r>
    </w:p>
    <w:p w14:paraId="281502FA">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场名</w:t>
      </w:r>
      <w:r>
        <w:rPr>
          <w:rFonts w:ascii="Times New Roman"/>
          <w:color w:val="000000"/>
          <w:spacing w:val="578"/>
          <w:sz w:val="21"/>
        </w:rPr>
        <w:t xml:space="preserve"> </w:t>
      </w:r>
      <w:r>
        <w:rPr>
          <w:rFonts w:ascii="宋体" w:hAnsi="宋体" w:cs="宋体"/>
          <w:color w:val="000000"/>
          <w:spacing w:val="0"/>
          <w:sz w:val="21"/>
        </w:rPr>
        <w:t>所在位置</w:t>
      </w:r>
      <w:r>
        <w:rPr>
          <w:rFonts w:ascii="Times New Roman"/>
          <w:color w:val="000000"/>
          <w:spacing w:val="623"/>
          <w:sz w:val="21"/>
        </w:rPr>
        <w:t xml:space="preserve"> </w:t>
      </w:r>
      <w:r>
        <w:rPr>
          <w:rFonts w:ascii="宋体" w:hAnsi="宋体" w:cs="宋体"/>
          <w:color w:val="000000"/>
          <w:spacing w:val="0"/>
          <w:sz w:val="21"/>
        </w:rPr>
        <w:t>设立时间</w:t>
      </w:r>
      <w:r>
        <w:rPr>
          <w:rFonts w:ascii="Times New Roman"/>
          <w:color w:val="000000"/>
          <w:spacing w:val="473"/>
          <w:sz w:val="21"/>
        </w:rPr>
        <w:t xml:space="preserve"> </w:t>
      </w:r>
      <w:r>
        <w:rPr>
          <w:rFonts w:ascii="宋体" w:hAnsi="宋体" w:cs="宋体"/>
          <w:color w:val="000000"/>
          <w:spacing w:val="0"/>
          <w:sz w:val="21"/>
        </w:rPr>
        <w:t>功能</w:t>
      </w:r>
      <w:r>
        <w:rPr>
          <w:rFonts w:ascii="Times New Roman"/>
          <w:color w:val="000000"/>
          <w:spacing w:val="1883"/>
          <w:sz w:val="21"/>
        </w:rPr>
        <w:t xml:space="preserve"> </w:t>
      </w:r>
      <w:r>
        <w:rPr>
          <w:rFonts w:ascii="宋体" w:hAnsi="宋体" w:cs="宋体"/>
          <w:color w:val="000000"/>
          <w:spacing w:val="0"/>
          <w:sz w:val="21"/>
        </w:rPr>
        <w:t>后续发展</w:t>
      </w:r>
    </w:p>
    <w:p w14:paraId="6074708E">
      <w:pPr>
        <w:spacing w:before="64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5</w:t>
      </w:r>
      <w:r>
        <w:rPr>
          <w:rFonts w:ascii="宋体" w:hAnsi="宋体" w:cs="宋体"/>
          <w:color w:val="000000"/>
          <w:spacing w:val="0"/>
          <w:sz w:val="21"/>
        </w:rPr>
        <w:t>页</w:t>
      </w:r>
    </w:p>
    <w:p w14:paraId="6E08B6F1">
      <w:pPr>
        <w:spacing w:before="0" w:after="0" w:line="0" w:lineRule="exact"/>
        <w:ind w:left="0" w:right="0" w:firstLine="0"/>
        <w:jc w:val="left"/>
        <w:rPr>
          <w:rFonts w:ascii="Arial"/>
          <w:color w:val="FF0000"/>
          <w:spacing w:val="0"/>
          <w:sz w:val="2"/>
        </w:rPr>
      </w:pPr>
    </w:p>
    <w:p w14:paraId="64C119C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1B5A473">
      <w:pPr>
        <w:sectPr>
          <w:headerReference r:id="rId6" w:type="first"/>
          <w:footerReference r:id="rId9" w:type="first"/>
          <w:headerReference r:id="rId4" w:type="default"/>
          <w:footerReference r:id="rId7" w:type="default"/>
          <w:headerReference r:id="rId5" w:type="even"/>
          <w:footerReference r:id="rId8" w:type="even"/>
          <w:pgSz w:w="11900" w:h="16840"/>
          <w:pgMar w:top="1462" w:right="100" w:bottom="0" w:left="1080" w:header="720" w:footer="720" w:gutter="0"/>
          <w:pgNumType w:start="1"/>
          <w:cols w:space="720" w:num="1"/>
          <w:docGrid w:linePitch="1" w:charSpace="0"/>
        </w:sectPr>
      </w:pPr>
    </w:p>
    <w:p w14:paraId="48F3F674">
      <w:pPr>
        <w:spacing w:before="0" w:after="0" w:line="0" w:lineRule="exact"/>
        <w:ind w:left="0" w:right="0" w:firstLine="0"/>
        <w:jc w:val="left"/>
        <w:rPr>
          <w:rFonts w:ascii="Arial"/>
          <w:color w:val="FF0000"/>
          <w:spacing w:val="0"/>
          <w:sz w:val="2"/>
        </w:rPr>
      </w:pPr>
    </w:p>
    <w:p w14:paraId="52FAD690">
      <w:pPr>
        <w:spacing w:before="0" w:after="0" w:line="220" w:lineRule="exact"/>
        <w:ind w:left="0" w:right="0" w:firstLine="0"/>
        <w:jc w:val="left"/>
        <w:rPr>
          <w:rFonts w:ascii="Times New Roman"/>
          <w:color w:val="000000"/>
          <w:spacing w:val="0"/>
          <w:sz w:val="21"/>
        </w:rPr>
      </w:pPr>
      <w:r>
        <w:pict>
          <v:shape id="_x00005" o:spid="_x0000_s103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6" o:spid="_x0000_s103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7" o:spid="_x0000_s1033" o:spt="75" type="#_x0000_t75" style="position:absolute;left:0pt;margin-left:47pt;margin-top:65.05pt;height:65.8pt;width:419.2pt;mso-position-horizontal-relative:page;mso-position-vertical-relative:page;z-index:-251657216;mso-width-relative:page;mso-height-relative:page;" filled="f" coordsize="21600,21600">
            <v:path/>
            <v:fill on="f" focussize="0,0"/>
            <v:stroke/>
            <v:imagedata r:id="rId16" o:title=""/>
            <o:lock v:ext="edit" aspectratio="t"/>
          </v:shape>
        </w:pict>
      </w:r>
      <w:r>
        <w:pict>
          <v:shape id="_x00008" o:spid="_x0000_s1034" o:spt="75" type="#_x0000_t75" style="position:absolute;left:0pt;margin-left:47pt;margin-top:526.5pt;height:66.55pt;width:249.6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宋体" w:hAnsi="宋体" w:cs="宋体"/>
          <w:color w:val="000000"/>
          <w:spacing w:val="0"/>
          <w:sz w:val="21"/>
        </w:rPr>
        <w:t>石绿场</w:t>
      </w:r>
      <w:r>
        <w:rPr>
          <w:rFonts w:ascii="Times New Roman"/>
          <w:color w:val="000000"/>
          <w:spacing w:val="368"/>
          <w:sz w:val="21"/>
        </w:rPr>
        <w:t xml:space="preserve"> </w:t>
      </w:r>
      <w:r>
        <w:rPr>
          <w:rFonts w:ascii="宋体" w:hAnsi="宋体" w:cs="宋体"/>
          <w:color w:val="000000"/>
          <w:spacing w:val="0"/>
          <w:sz w:val="21"/>
        </w:rPr>
        <w:t>今安徽南部</w:t>
      </w:r>
      <w:r>
        <w:rPr>
          <w:rFonts w:ascii="Times New Roman"/>
          <w:color w:val="000000"/>
          <w:spacing w:val="413"/>
          <w:sz w:val="21"/>
        </w:rPr>
        <w:t xml:space="preserve"> </w:t>
      </w:r>
      <w:r>
        <w:rPr>
          <w:rFonts w:ascii="宋体" w:hAnsi="宋体" w:cs="宋体"/>
          <w:color w:val="000000"/>
          <w:spacing w:val="0"/>
          <w:sz w:val="21"/>
        </w:rPr>
        <w:t>唐开元间</w:t>
      </w:r>
      <w:r>
        <w:rPr>
          <w:rFonts w:ascii="Times New Roman"/>
          <w:color w:val="000000"/>
          <w:spacing w:val="473"/>
          <w:sz w:val="21"/>
        </w:rPr>
        <w:t xml:space="preserve"> </w:t>
      </w:r>
      <w:r>
        <w:rPr>
          <w:rFonts w:ascii="宋体" w:hAnsi="宋体" w:cs="宋体"/>
          <w:color w:val="000000"/>
          <w:spacing w:val="0"/>
          <w:sz w:val="21"/>
        </w:rPr>
        <w:t>初为矿场，后兼作税场</w:t>
      </w:r>
      <w:r>
        <w:rPr>
          <w:rFonts w:ascii="Times New Roman"/>
          <w:color w:val="000000"/>
          <w:spacing w:val="203"/>
          <w:sz w:val="21"/>
        </w:rPr>
        <w:t xml:space="preserve"> </w:t>
      </w:r>
      <w:r>
        <w:rPr>
          <w:rFonts w:ascii="宋体" w:hAnsi="宋体" w:cs="宋体"/>
          <w:color w:val="000000"/>
          <w:spacing w:val="0"/>
          <w:sz w:val="21"/>
        </w:rPr>
        <w:t>南唐设繁昌县</w:t>
      </w:r>
    </w:p>
    <w:p w14:paraId="0F2EA16D">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铅场</w:t>
      </w:r>
      <w:r>
        <w:rPr>
          <w:rFonts w:ascii="Times New Roman"/>
          <w:color w:val="000000"/>
          <w:spacing w:val="578"/>
          <w:sz w:val="21"/>
        </w:rPr>
        <w:t xml:space="preserve"> </w:t>
      </w:r>
      <w:r>
        <w:rPr>
          <w:rFonts w:ascii="宋体" w:hAnsi="宋体" w:cs="宋体"/>
          <w:color w:val="000000"/>
          <w:spacing w:val="0"/>
          <w:sz w:val="21"/>
        </w:rPr>
        <w:t>今江西东部</w:t>
      </w:r>
      <w:r>
        <w:rPr>
          <w:rFonts w:ascii="Times New Roman"/>
          <w:color w:val="000000"/>
          <w:spacing w:val="413"/>
          <w:sz w:val="21"/>
        </w:rPr>
        <w:t xml:space="preserve"> </w:t>
      </w:r>
      <w:r>
        <w:rPr>
          <w:rFonts w:ascii="宋体" w:hAnsi="宋体" w:cs="宋体"/>
          <w:color w:val="000000"/>
          <w:spacing w:val="0"/>
          <w:sz w:val="21"/>
        </w:rPr>
        <w:t>五代时期</w:t>
      </w:r>
      <w:r>
        <w:rPr>
          <w:rFonts w:ascii="Times New Roman"/>
          <w:color w:val="000000"/>
          <w:spacing w:val="473"/>
          <w:sz w:val="21"/>
        </w:rPr>
        <w:t xml:space="preserve"> </w:t>
      </w:r>
      <w:r>
        <w:rPr>
          <w:rFonts w:ascii="宋体" w:hAnsi="宋体" w:cs="宋体"/>
          <w:color w:val="000000"/>
          <w:spacing w:val="0"/>
          <w:sz w:val="21"/>
        </w:rPr>
        <w:t>初为矿场，后兼作税场</w:t>
      </w:r>
      <w:r>
        <w:rPr>
          <w:rFonts w:ascii="Times New Roman"/>
          <w:color w:val="000000"/>
          <w:spacing w:val="203"/>
          <w:sz w:val="21"/>
        </w:rPr>
        <w:t xml:space="preserve"> </w:t>
      </w:r>
      <w:r>
        <w:rPr>
          <w:rFonts w:ascii="宋体" w:hAnsi="宋体" w:cs="宋体"/>
          <w:color w:val="000000"/>
          <w:spacing w:val="0"/>
          <w:sz w:val="21"/>
        </w:rPr>
        <w:t>南唐设铅山县</w:t>
      </w:r>
    </w:p>
    <w:p w14:paraId="134247E8">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过度开采造成资源枯竭</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南方开发影响政区设置</w:t>
      </w:r>
    </w:p>
    <w:p w14:paraId="343ABC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资源开发加重民众负担</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政权更替改变矿场功能</w:t>
      </w:r>
    </w:p>
    <w:p w14:paraId="3FE096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4"/>
          <w:sz w:val="21"/>
        </w:rPr>
        <w:t>宋代徽州出现了承揽他人赋税的“揽户”。“税户”若无绢帛充当赋税，可由“揽户”代为向民间专门从</w:t>
      </w:r>
    </w:p>
    <w:p w14:paraId="581E26E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事绢帛生产的“机户”购买。这可用于说明宋代（</w:t>
      </w:r>
      <w:r>
        <w:rPr>
          <w:rFonts w:ascii="Times New Roman"/>
          <w:color w:val="000000"/>
          <w:spacing w:val="263"/>
          <w:sz w:val="21"/>
        </w:rPr>
        <w:t xml:space="preserve"> </w:t>
      </w:r>
      <w:r>
        <w:rPr>
          <w:rFonts w:ascii="宋体" w:hAnsi="宋体" w:cs="宋体"/>
          <w:color w:val="000000"/>
          <w:spacing w:val="0"/>
          <w:sz w:val="21"/>
        </w:rPr>
        <w:t>）</w:t>
      </w:r>
    </w:p>
    <w:p w14:paraId="44B0DF4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政府赋税征收管理松弛</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区域间商贸活动频繁</w:t>
      </w:r>
    </w:p>
    <w:p w14:paraId="7C0E20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自然经济结构有所突破</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手工业生产分工细密</w:t>
      </w:r>
    </w:p>
    <w:p w14:paraId="7B0581B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朝鲜文献中记载了万历年间一位明朝官员与两位朝鲜官员论学之事。这位明朝官员“学于王守仁门人，</w:t>
      </w:r>
    </w:p>
    <w:p w14:paraId="0F75196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力诋程、朱注说”，两位朝鲜官员则坚持“尊尚程朱”的立场。这一史料说明（</w:t>
      </w:r>
      <w:r>
        <w:rPr>
          <w:rFonts w:ascii="Times New Roman"/>
          <w:color w:val="000000"/>
          <w:spacing w:val="263"/>
          <w:sz w:val="21"/>
        </w:rPr>
        <w:t xml:space="preserve"> </w:t>
      </w:r>
      <w:r>
        <w:rPr>
          <w:rFonts w:ascii="宋体" w:hAnsi="宋体" w:cs="宋体"/>
          <w:color w:val="000000"/>
          <w:spacing w:val="0"/>
          <w:sz w:val="21"/>
        </w:rPr>
        <w:t>）</w:t>
      </w:r>
    </w:p>
    <w:p w14:paraId="0840248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明朝对朝鲜的影响较小</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宋明理学产生广泛影响</w:t>
      </w:r>
    </w:p>
    <w:p w14:paraId="5BE5B4F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阳明心学蔑视权威教条</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程朱理学存在学派偏见</w:t>
      </w:r>
    </w:p>
    <w:p w14:paraId="6C69C01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7. 1861 </w:t>
      </w:r>
      <w:r>
        <w:rPr>
          <w:rFonts w:ascii="宋体" w:hAnsi="宋体" w:cs="宋体"/>
          <w:color w:val="000000"/>
          <w:spacing w:val="0"/>
          <w:sz w:val="21"/>
        </w:rPr>
        <w:t>年，李秀成多次致信英国驻汉口领事金执尔，强调双方“同教之传”，并透露太平军将进军九江、</w:t>
      </w:r>
    </w:p>
    <w:p w14:paraId="3380CF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上海。然而，金执尔只向英国政府报告了太平军的军事计划，并渲染其破坏性。此后，英国放弃中立，转</w:t>
      </w:r>
    </w:p>
    <w:p w14:paraId="1F670E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而协助清政府。英国这一转变说明（</w:t>
      </w:r>
      <w:r>
        <w:rPr>
          <w:rFonts w:ascii="Times New Roman"/>
          <w:color w:val="000000"/>
          <w:spacing w:val="263"/>
          <w:sz w:val="21"/>
        </w:rPr>
        <w:t xml:space="preserve"> </w:t>
      </w:r>
      <w:r>
        <w:rPr>
          <w:rFonts w:ascii="宋体" w:hAnsi="宋体" w:cs="宋体"/>
          <w:color w:val="000000"/>
          <w:spacing w:val="0"/>
          <w:sz w:val="21"/>
        </w:rPr>
        <w:t>）</w:t>
      </w:r>
    </w:p>
    <w:p w14:paraId="1958874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英国的对华政策发生本质变化</w:t>
      </w:r>
      <w:r>
        <w:rPr>
          <w:rFonts w:ascii="Times New Roman"/>
          <w:color w:val="000000"/>
          <w:spacing w:val="178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宗教认同并非外交考量因素</w:t>
      </w:r>
    </w:p>
    <w:p w14:paraId="032AE5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太平军以妥协求生存策略失败</w:t>
      </w:r>
      <w:r>
        <w:rPr>
          <w:rFonts w:ascii="Times New Roman"/>
          <w:color w:val="000000"/>
          <w:spacing w:val="179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太平天国运动危及列强利益</w:t>
      </w:r>
    </w:p>
    <w:p w14:paraId="795AB6B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下表是</w:t>
      </w:r>
      <w:r>
        <w:rPr>
          <w:rFonts w:ascii="Times New Roman"/>
          <w:color w:val="000000"/>
          <w:spacing w:val="0"/>
          <w:sz w:val="21"/>
        </w:rPr>
        <w:t xml:space="preserve"> 1898 </w:t>
      </w:r>
      <w:r>
        <w:rPr>
          <w:rFonts w:ascii="宋体" w:hAnsi="宋体" w:cs="宋体"/>
          <w:color w:val="000000"/>
          <w:spacing w:val="0"/>
          <w:sz w:val="21"/>
        </w:rPr>
        <w:t>年湖南省浏阳县县试的部分考题。这可用于说明（</w:t>
      </w:r>
      <w:r>
        <w:rPr>
          <w:rFonts w:ascii="Times New Roman"/>
          <w:color w:val="000000"/>
          <w:spacing w:val="263"/>
          <w:sz w:val="21"/>
        </w:rPr>
        <w:t xml:space="preserve"> </w:t>
      </w:r>
      <w:r>
        <w:rPr>
          <w:rFonts w:ascii="宋体" w:hAnsi="宋体" w:cs="宋体"/>
          <w:color w:val="000000"/>
          <w:spacing w:val="0"/>
          <w:sz w:val="21"/>
        </w:rPr>
        <w:t>）</w:t>
      </w:r>
    </w:p>
    <w:p w14:paraId="4B14EFDF">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经学题</w:t>
      </w:r>
      <w:r>
        <w:rPr>
          <w:rFonts w:ascii="Times New Roman"/>
          <w:color w:val="000000"/>
          <w:spacing w:val="428"/>
          <w:sz w:val="21"/>
        </w:rPr>
        <w:t xml:space="preserve"> </w:t>
      </w:r>
      <w:r>
        <w:rPr>
          <w:rFonts w:ascii="宋体" w:hAnsi="宋体" w:cs="宋体"/>
          <w:color w:val="000000"/>
          <w:spacing w:val="0"/>
          <w:sz w:val="21"/>
        </w:rPr>
        <w:t>素王改制论；六经皆政书论</w:t>
      </w:r>
    </w:p>
    <w:p w14:paraId="5E72DFC7">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掌故题</w:t>
      </w:r>
      <w:r>
        <w:rPr>
          <w:rFonts w:ascii="Times New Roman"/>
          <w:color w:val="000000"/>
          <w:spacing w:val="428"/>
          <w:sz w:val="21"/>
        </w:rPr>
        <w:t xml:space="preserve"> </w:t>
      </w:r>
      <w:r>
        <w:rPr>
          <w:rFonts w:ascii="宋体" w:hAnsi="宋体" w:cs="宋体"/>
          <w:color w:val="000000"/>
          <w:spacing w:val="0"/>
          <w:sz w:val="21"/>
        </w:rPr>
        <w:t>伸民权所以尊君权说；罢谏官设议院议</w:t>
      </w:r>
    </w:p>
    <w:p w14:paraId="0A29941A">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儒学正统地位动摇</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维新运动缺乏群众基础</w:t>
      </w:r>
    </w:p>
    <w:p w14:paraId="47D2504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中央权威日渐式微</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湖南成为改良运动重镇</w:t>
      </w:r>
    </w:p>
    <w:p w14:paraId="690420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近代中国某一历史时期，曾采用如下策略收回国家主权：以群众运动为先导、军队为后盾，通过街头冲</w:t>
      </w:r>
    </w:p>
    <w:p w14:paraId="1FFCF0D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突、军警开进、谈判解决依次推进。这使英国在中国军队到来之时主动交还镇江英租界。这一场景发生于</w:t>
      </w:r>
    </w:p>
    <w:p w14:paraId="3AFD34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6937BC7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辛亥革命时期</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五四运动时期</w:t>
      </w:r>
    </w:p>
    <w:p w14:paraId="741C55C6">
      <w:pPr>
        <w:spacing w:before="35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5</w:t>
      </w:r>
      <w:r>
        <w:rPr>
          <w:rFonts w:ascii="宋体" w:hAnsi="宋体" w:cs="宋体"/>
          <w:color w:val="000000"/>
          <w:spacing w:val="0"/>
          <w:sz w:val="21"/>
        </w:rPr>
        <w:t>页</w:t>
      </w:r>
    </w:p>
    <w:p w14:paraId="146D70EC">
      <w:pPr>
        <w:spacing w:before="0" w:after="0" w:line="0" w:lineRule="exact"/>
        <w:ind w:left="0" w:right="0" w:firstLine="0"/>
        <w:jc w:val="left"/>
        <w:rPr>
          <w:rFonts w:ascii="Arial"/>
          <w:color w:val="FF0000"/>
          <w:spacing w:val="0"/>
          <w:sz w:val="2"/>
        </w:rPr>
      </w:pPr>
    </w:p>
    <w:p w14:paraId="6EB57A2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6F511CE">
      <w:pPr>
        <w:sectPr>
          <w:pgSz w:w="11900" w:h="16840"/>
          <w:pgMar w:top="1542" w:right="100" w:bottom="0" w:left="1080" w:header="720" w:footer="720" w:gutter="0"/>
          <w:pgNumType w:start="1"/>
          <w:cols w:space="720" w:num="1"/>
          <w:docGrid w:linePitch="1" w:charSpace="0"/>
        </w:sectPr>
      </w:pPr>
    </w:p>
    <w:p w14:paraId="403780FB">
      <w:pPr>
        <w:spacing w:before="0" w:after="0" w:line="0" w:lineRule="exact"/>
        <w:ind w:left="0" w:right="0" w:firstLine="0"/>
        <w:jc w:val="left"/>
        <w:rPr>
          <w:rFonts w:ascii="Arial"/>
          <w:color w:val="FF0000"/>
          <w:spacing w:val="0"/>
          <w:sz w:val="2"/>
        </w:rPr>
      </w:pPr>
    </w:p>
    <w:p w14:paraId="05D0C2B3">
      <w:pPr>
        <w:spacing w:before="0" w:after="0" w:line="243" w:lineRule="exact"/>
        <w:ind w:left="0" w:right="0" w:firstLine="0"/>
        <w:jc w:val="left"/>
        <w:rPr>
          <w:rFonts w:ascii="Times New Roman"/>
          <w:color w:val="000000"/>
          <w:spacing w:val="0"/>
          <w:sz w:val="21"/>
        </w:rPr>
      </w:pPr>
      <w:r>
        <w:pict>
          <v:shape id="_x00009" o:spid="_x0000_s1035"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0" o:spid="_x0000_s1036"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1" o:spid="_x0000_s1037"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2" o:spid="_x0000_s1038" o:spt="75" type="#_x0000_t75" style="position:absolute;left:0pt;margin-left:47pt;margin-top:134.85pt;height:128.05pt;width:254.1pt;mso-position-horizontal-relative:page;mso-position-vertical-relative:page;z-index:-251657216;mso-width-relative:page;mso-height-relative:page;" filled="f" coordsize="21600,21600">
            <v:path/>
            <v:fill on="f" focussize="0,0"/>
            <v:stroke/>
            <v:imagedata r:id="rId18" o:title=""/>
            <o:lock v:ext="edit" aspectratio="t"/>
          </v:shape>
        </w:pic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国民革命时期</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抗日战争时期</w:t>
      </w:r>
    </w:p>
    <w:p w14:paraId="31CC231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10. 1941 </w:t>
      </w:r>
      <w:r>
        <w:rPr>
          <w:rFonts w:ascii="宋体" w:hAnsi="宋体" w:cs="宋体"/>
          <w:color w:val="000000"/>
          <w:spacing w:val="0"/>
          <w:sz w:val="21"/>
        </w:rPr>
        <w:t>年</w:t>
      </w:r>
      <w:r>
        <w:rPr>
          <w:rFonts w:ascii="Times New Roman"/>
          <w:color w:val="000000"/>
          <w:spacing w:val="0"/>
          <w:sz w:val="21"/>
        </w:rPr>
        <w:t xml:space="preserve"> 3 </w:t>
      </w:r>
      <w:r>
        <w:rPr>
          <w:rFonts w:ascii="宋体" w:hAnsi="宋体" w:cs="宋体"/>
          <w:color w:val="000000"/>
          <w:spacing w:val="0"/>
          <w:sz w:val="21"/>
        </w:rPr>
        <w:t>月</w:t>
      </w:r>
      <w:r>
        <w:rPr>
          <w:rFonts w:ascii="Times New Roman"/>
          <w:color w:val="000000"/>
          <w:spacing w:val="0"/>
          <w:sz w:val="21"/>
        </w:rPr>
        <w:t xml:space="preserve"> 8 </w:t>
      </w:r>
      <w:r>
        <w:rPr>
          <w:rFonts w:ascii="宋体" w:hAnsi="宋体" w:cs="宋体"/>
          <w:color w:val="000000"/>
          <w:spacing w:val="-3"/>
          <w:sz w:val="21"/>
        </w:rPr>
        <w:t>日，中共中央妇女运动委员会主办的《中国妇女》刊载了一幅宣传画（下图）。该画体现</w:t>
      </w:r>
    </w:p>
    <w:p w14:paraId="1081CD4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了这一时期的妇女运动（</w:t>
      </w:r>
      <w:r>
        <w:rPr>
          <w:rFonts w:ascii="Times New Roman"/>
          <w:color w:val="000000"/>
          <w:spacing w:val="263"/>
          <w:sz w:val="21"/>
        </w:rPr>
        <w:t xml:space="preserve"> </w:t>
      </w:r>
      <w:r>
        <w:rPr>
          <w:rFonts w:ascii="宋体" w:hAnsi="宋体" w:cs="宋体"/>
          <w:color w:val="000000"/>
          <w:spacing w:val="0"/>
          <w:sz w:val="21"/>
        </w:rPr>
        <w:t>）</w:t>
      </w:r>
    </w:p>
    <w:p w14:paraId="5EC0798A">
      <w:pPr>
        <w:spacing w:before="338" w:after="0" w:line="220" w:lineRule="exact"/>
        <w:ind w:left="2386" w:right="0" w:firstLine="0"/>
        <w:jc w:val="left"/>
        <w:rPr>
          <w:rFonts w:ascii="Times New Roman"/>
          <w:color w:val="000000"/>
          <w:spacing w:val="0"/>
          <w:sz w:val="21"/>
        </w:rPr>
      </w:pPr>
      <w:r>
        <w:rPr>
          <w:rFonts w:ascii="宋体" w:hAnsi="宋体" w:cs="宋体"/>
          <w:color w:val="000000"/>
          <w:spacing w:val="0"/>
          <w:sz w:val="21"/>
        </w:rPr>
        <w:t>图中文字：</w:t>
      </w:r>
    </w:p>
    <w:p w14:paraId="38FAE0D6">
      <w:pPr>
        <w:spacing w:before="248" w:after="0" w:line="220" w:lineRule="exact"/>
        <w:ind w:left="2386" w:right="0" w:firstLine="0"/>
        <w:jc w:val="left"/>
        <w:rPr>
          <w:rFonts w:ascii="Times New Roman"/>
          <w:color w:val="000000"/>
          <w:spacing w:val="0"/>
          <w:sz w:val="21"/>
        </w:rPr>
      </w:pPr>
      <w:r>
        <w:rPr>
          <w:rFonts w:ascii="宋体" w:hAnsi="宋体" w:cs="宋体"/>
          <w:color w:val="000000"/>
          <w:spacing w:val="0"/>
          <w:sz w:val="21"/>
        </w:rPr>
        <w:t>纪念“三八”节</w:t>
      </w:r>
    </w:p>
    <w:p w14:paraId="10F3452F">
      <w:pPr>
        <w:spacing w:before="248" w:after="0" w:line="220" w:lineRule="exact"/>
        <w:ind w:left="2386" w:right="0" w:firstLine="0"/>
        <w:jc w:val="left"/>
        <w:rPr>
          <w:rFonts w:ascii="Times New Roman"/>
          <w:color w:val="000000"/>
          <w:spacing w:val="0"/>
          <w:sz w:val="21"/>
        </w:rPr>
      </w:pPr>
      <w:r>
        <w:rPr>
          <w:rFonts w:ascii="宋体" w:hAnsi="宋体" w:cs="宋体"/>
          <w:color w:val="000000"/>
          <w:spacing w:val="0"/>
          <w:sz w:val="21"/>
        </w:rPr>
        <w:t>反对世界帝国主义大战！</w:t>
      </w:r>
    </w:p>
    <w:p w14:paraId="3FD4157E">
      <w:pPr>
        <w:spacing w:before="248" w:after="0" w:line="220" w:lineRule="exact"/>
        <w:ind w:left="2386" w:right="0" w:firstLine="0"/>
        <w:jc w:val="left"/>
        <w:rPr>
          <w:rFonts w:ascii="Times New Roman"/>
          <w:color w:val="000000"/>
          <w:spacing w:val="0"/>
          <w:sz w:val="21"/>
        </w:rPr>
      </w:pPr>
      <w:r>
        <w:rPr>
          <w:rFonts w:ascii="宋体" w:hAnsi="宋体" w:cs="宋体"/>
          <w:color w:val="000000"/>
          <w:spacing w:val="0"/>
          <w:sz w:val="21"/>
        </w:rPr>
        <w:t>反对投降分裂！</w:t>
      </w:r>
    </w:p>
    <w:p w14:paraId="7400891B">
      <w:pPr>
        <w:spacing w:before="248" w:after="0" w:line="220" w:lineRule="exact"/>
        <w:ind w:left="2386" w:right="0" w:firstLine="0"/>
        <w:jc w:val="left"/>
        <w:rPr>
          <w:rFonts w:ascii="Times New Roman"/>
          <w:color w:val="000000"/>
          <w:spacing w:val="0"/>
          <w:sz w:val="21"/>
        </w:rPr>
      </w:pPr>
      <w:r>
        <w:rPr>
          <w:rFonts w:ascii="宋体" w:hAnsi="宋体" w:cs="宋体"/>
          <w:color w:val="000000"/>
          <w:spacing w:val="0"/>
          <w:sz w:val="21"/>
        </w:rPr>
        <w:t>保护妇女切身利益！</w:t>
      </w:r>
    </w:p>
    <w:p w14:paraId="01D67A9A">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服务于民族的解放</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促成了民族统一战线建立</w:t>
      </w:r>
    </w:p>
    <w:p w14:paraId="7947C1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致力推翻国民政府</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确保了妇女自身权益实现</w:t>
      </w:r>
    </w:p>
    <w:p w14:paraId="3ADC393D">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Times New Roman"/>
          <w:color w:val="000000"/>
          <w:spacing w:val="0"/>
          <w:sz w:val="21"/>
        </w:rPr>
        <w:t xml:space="preserve">20 </w:t>
      </w:r>
      <w:r>
        <w:rPr>
          <w:rFonts w:ascii="宋体" w:hAnsi="宋体" w:cs="宋体"/>
          <w:color w:val="000000"/>
          <w:spacing w:val="0"/>
          <w:sz w:val="21"/>
        </w:rPr>
        <w:t>世纪</w:t>
      </w:r>
      <w:r>
        <w:rPr>
          <w:rFonts w:ascii="Times New Roman"/>
          <w:color w:val="000000"/>
          <w:spacing w:val="0"/>
          <w:sz w:val="21"/>
        </w:rPr>
        <w:t xml:space="preserve"> 90 </w:t>
      </w:r>
      <w:r>
        <w:rPr>
          <w:rFonts w:ascii="宋体" w:hAnsi="宋体" w:cs="宋体"/>
          <w:color w:val="000000"/>
          <w:spacing w:val="0"/>
          <w:sz w:val="21"/>
        </w:rPr>
        <w:t>年代，我国某村庄刷有“不恋家乡三分田，外出务工挣大钱”的标语；近年来，随着电商经</w:t>
      </w:r>
    </w:p>
    <w:p w14:paraId="36581A0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济的发展，标语变成了“在外东奔西跑，不如回家淘宝”。这一变化反映了（</w:t>
      </w:r>
      <w:r>
        <w:rPr>
          <w:rFonts w:ascii="Times New Roman"/>
          <w:color w:val="000000"/>
          <w:spacing w:val="263"/>
          <w:sz w:val="21"/>
        </w:rPr>
        <w:t xml:space="preserve"> </w:t>
      </w:r>
      <w:r>
        <w:rPr>
          <w:rFonts w:ascii="宋体" w:hAnsi="宋体" w:cs="宋体"/>
          <w:color w:val="000000"/>
          <w:spacing w:val="0"/>
          <w:sz w:val="21"/>
        </w:rPr>
        <w:t>）</w:t>
      </w:r>
    </w:p>
    <w:p w14:paraId="0A158F9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产业结构不断优化升级</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人口流动取决于就业观念</w:t>
      </w:r>
    </w:p>
    <w:p w14:paraId="6DC7F23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经济体制改革目标转换</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世界经济全球化持续推进</w:t>
      </w:r>
    </w:p>
    <w:p w14:paraId="5D400B1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罗马帝国时期，小亚细亚一位作家在其著作中介绍诸神谱系时，列举了希腊和埃及的诸多神灵，同时对</w:t>
      </w:r>
    </w:p>
    <w:p w14:paraId="02B9DC4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埃及神灵的灵验程度持怀疑态度。这反映了（</w:t>
      </w:r>
      <w:r>
        <w:rPr>
          <w:rFonts w:ascii="Times New Roman"/>
          <w:color w:val="000000"/>
          <w:spacing w:val="263"/>
          <w:sz w:val="21"/>
        </w:rPr>
        <w:t xml:space="preserve"> </w:t>
      </w:r>
      <w:r>
        <w:rPr>
          <w:rFonts w:ascii="宋体" w:hAnsi="宋体" w:cs="宋体"/>
          <w:color w:val="000000"/>
          <w:spacing w:val="0"/>
          <w:sz w:val="21"/>
        </w:rPr>
        <w:t>）</w:t>
      </w:r>
    </w:p>
    <w:p w14:paraId="7C1AF57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罗马帝国的区域性扩张</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希腊化时代的文化融合</w:t>
      </w:r>
    </w:p>
    <w:p w14:paraId="31D4776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多元文化推动文明进步</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不同文化在交流中碰撞</w:t>
      </w:r>
    </w:p>
    <w:p w14:paraId="2D8069B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13. 15</w:t>
      </w:r>
      <w:r>
        <w:rPr>
          <w:rFonts w:ascii="Times New Roman"/>
          <w:color w:val="000000"/>
          <w:spacing w:val="-5"/>
          <w:sz w:val="21"/>
        </w:rPr>
        <w:t xml:space="preserve"> </w:t>
      </w:r>
      <w:r>
        <w:rPr>
          <w:rFonts w:ascii="宋体" w:hAnsi="宋体" w:cs="宋体"/>
          <w:color w:val="000000"/>
          <w:spacing w:val="-1"/>
          <w:sz w:val="21"/>
        </w:rPr>
        <w:t>世纪中期，威尼斯人毛罗在绘制地图时，以中世纪世界地图为蓝本，增加了当时欧洲航海报告中关于</w:t>
      </w:r>
    </w:p>
    <w:p w14:paraId="6BBAB32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非洲海岸、大西洋岛屿以及贸易航线的最新信息。这反映当时欧洲人（</w:t>
      </w:r>
      <w:r>
        <w:rPr>
          <w:rFonts w:ascii="Times New Roman"/>
          <w:color w:val="000000"/>
          <w:spacing w:val="263"/>
          <w:sz w:val="21"/>
        </w:rPr>
        <w:t xml:space="preserve"> </w:t>
      </w:r>
      <w:r>
        <w:rPr>
          <w:rFonts w:ascii="宋体" w:hAnsi="宋体" w:cs="宋体"/>
          <w:color w:val="000000"/>
          <w:spacing w:val="0"/>
          <w:sz w:val="21"/>
        </w:rPr>
        <w:t>）</w:t>
      </w:r>
    </w:p>
    <w:p w14:paraId="0128343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对古典文化的传承</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对天主教会束缚的突破</w:t>
      </w:r>
    </w:p>
    <w:p w14:paraId="183E02D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对商业利益的追逐</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对地理知识体系的重构</w:t>
      </w:r>
    </w:p>
    <w:p w14:paraId="05C157C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14. 19</w:t>
      </w:r>
      <w:r>
        <w:rPr>
          <w:rFonts w:ascii="Times New Roman"/>
          <w:color w:val="000000"/>
          <w:spacing w:val="-5"/>
          <w:sz w:val="21"/>
        </w:rPr>
        <w:t xml:space="preserve"> </w:t>
      </w:r>
      <w:r>
        <w:rPr>
          <w:rFonts w:ascii="宋体" w:hAnsi="宋体" w:cs="宋体"/>
          <w:color w:val="000000"/>
          <w:spacing w:val="-1"/>
          <w:sz w:val="21"/>
        </w:rPr>
        <w:t>世纪中叶，英国出现了“比例尺之争”。其中一方主张沿用传统的小比例尺地图，而另一方坚持采用</w:t>
      </w:r>
    </w:p>
    <w:p w14:paraId="488B5F7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更清晰、详实的大比例尺地图，以满足土地产权登记、道路修建、大型排水工程建设等需求。这一争论是</w:t>
      </w:r>
    </w:p>
    <w:p w14:paraId="7F37BFF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基于当时英国（</w:t>
      </w:r>
      <w:r>
        <w:rPr>
          <w:rFonts w:ascii="Times New Roman"/>
          <w:color w:val="000000"/>
          <w:spacing w:val="263"/>
          <w:sz w:val="21"/>
        </w:rPr>
        <w:t xml:space="preserve"> </w:t>
      </w:r>
      <w:r>
        <w:rPr>
          <w:rFonts w:ascii="宋体" w:hAnsi="宋体" w:cs="宋体"/>
          <w:color w:val="000000"/>
          <w:spacing w:val="0"/>
          <w:sz w:val="21"/>
        </w:rPr>
        <w:t>）</w:t>
      </w:r>
    </w:p>
    <w:p w14:paraId="3CB8558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地方治理模式的转型</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城市发展进程的加快</w:t>
      </w:r>
    </w:p>
    <w:p w14:paraId="195C51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地图绘制技术的突破</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道路规划理念的革新</w:t>
      </w:r>
    </w:p>
    <w:p w14:paraId="058E653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15. 1920</w:t>
      </w:r>
      <w:r>
        <w:rPr>
          <w:rFonts w:ascii="Times New Roman"/>
          <w:color w:val="000000"/>
          <w:spacing w:val="-2"/>
          <w:sz w:val="21"/>
        </w:rPr>
        <w:t xml:space="preserve"> </w:t>
      </w:r>
      <w:r>
        <w:rPr>
          <w:rFonts w:ascii="宋体" w:hAnsi="宋体" w:cs="宋体"/>
          <w:color w:val="000000"/>
          <w:spacing w:val="-2"/>
          <w:sz w:val="21"/>
        </w:rPr>
        <w:t>年，国际联盟成立，其行政院常任理事国为英、法、美、日、意。由于美国最终未参加国联，实际</w:t>
      </w:r>
    </w:p>
    <w:p w14:paraId="3A167DD2">
      <w:pPr>
        <w:spacing w:before="3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5</w:t>
      </w:r>
      <w:r>
        <w:rPr>
          <w:rFonts w:ascii="宋体" w:hAnsi="宋体" w:cs="宋体"/>
          <w:color w:val="000000"/>
          <w:spacing w:val="0"/>
          <w:sz w:val="21"/>
        </w:rPr>
        <w:t>页</w:t>
      </w:r>
    </w:p>
    <w:p w14:paraId="62A5423A">
      <w:pPr>
        <w:spacing w:before="0" w:after="0" w:line="0" w:lineRule="exact"/>
        <w:ind w:left="0" w:right="0" w:firstLine="0"/>
        <w:jc w:val="left"/>
        <w:rPr>
          <w:rFonts w:ascii="Arial"/>
          <w:color w:val="FF0000"/>
          <w:spacing w:val="0"/>
          <w:sz w:val="2"/>
        </w:rPr>
      </w:pPr>
    </w:p>
    <w:p w14:paraId="73EE703D">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F368180">
      <w:pPr>
        <w:spacing w:before="0" w:after="0" w:line="243" w:lineRule="exact"/>
        <w:ind w:left="0" w:right="0" w:firstLine="0"/>
        <w:jc w:val="left"/>
        <w:rPr>
          <w:rFonts w:ascii="Times New Roman"/>
          <w:color w:val="000000"/>
          <w:spacing w:val="0"/>
          <w:sz w:val="21"/>
        </w:rPr>
      </w:pPr>
      <w:r>
        <w:pict>
          <v:shape id="_x000013" o:spid="_x0000_s103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4" o:spid="_x0000_s1040"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5" o:spid="_x0000_s104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0"/>
          <w:sz w:val="21"/>
        </w:rPr>
        <w:t>上只有四个常任理事国。</w:t>
      </w:r>
      <w:r>
        <w:rPr>
          <w:rFonts w:ascii="Times New Roman"/>
          <w:color w:val="000000"/>
          <w:spacing w:val="0"/>
          <w:sz w:val="21"/>
        </w:rPr>
        <w:t xml:space="preserve">1945 </w:t>
      </w:r>
      <w:r>
        <w:rPr>
          <w:rFonts w:ascii="宋体" w:hAnsi="宋体" w:cs="宋体"/>
          <w:color w:val="000000"/>
          <w:spacing w:val="0"/>
          <w:sz w:val="21"/>
        </w:rPr>
        <w:t>年，联合国成立，其安理会常任理事国为美、苏、英、法、中。这一变化说</w:t>
      </w:r>
    </w:p>
    <w:p w14:paraId="1A4B1B4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明（</w:t>
      </w:r>
      <w:r>
        <w:rPr>
          <w:rFonts w:ascii="Times New Roman"/>
          <w:color w:val="000000"/>
          <w:spacing w:val="263"/>
          <w:sz w:val="21"/>
        </w:rPr>
        <w:t xml:space="preserve"> </w:t>
      </w:r>
      <w:r>
        <w:rPr>
          <w:rFonts w:ascii="宋体" w:hAnsi="宋体" w:cs="宋体"/>
          <w:color w:val="000000"/>
          <w:spacing w:val="0"/>
          <w:sz w:val="21"/>
        </w:rPr>
        <w:t>）</w:t>
      </w:r>
    </w:p>
    <w:p w14:paraId="583E557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世界多极化趋势明显</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大国协商机制日臻完善</w:t>
      </w:r>
    </w:p>
    <w:p w14:paraId="2FE1282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欧洲中心格局被打破</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国际安全得到有效保障</w:t>
      </w:r>
    </w:p>
    <w:p w14:paraId="7E23464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16. 1973</w:t>
      </w:r>
      <w:r>
        <w:rPr>
          <w:rFonts w:ascii="Times New Roman"/>
          <w:color w:val="000000"/>
          <w:spacing w:val="-3"/>
          <w:sz w:val="21"/>
        </w:rPr>
        <w:t xml:space="preserve"> </w:t>
      </w:r>
      <w:r>
        <w:rPr>
          <w:rFonts w:ascii="宋体" w:hAnsi="宋体" w:cs="宋体"/>
          <w:color w:val="000000"/>
          <w:spacing w:val="-2"/>
          <w:sz w:val="21"/>
        </w:rPr>
        <w:t>年，有学者出版《如何解读唐老鸭：迪士尼卡通中的帝国主义意识形态》一书（唐老鸭是美国迪士</w:t>
      </w:r>
    </w:p>
    <w:p w14:paraId="70FA44A7">
      <w:pPr>
        <w:spacing w:before="226" w:after="0" w:line="243" w:lineRule="exact"/>
        <w:ind w:left="0" w:right="0" w:firstLine="0"/>
        <w:jc w:val="left"/>
        <w:rPr>
          <w:rFonts w:ascii="Times New Roman"/>
          <w:color w:val="000000"/>
          <w:spacing w:val="0"/>
          <w:sz w:val="21"/>
        </w:rPr>
      </w:pPr>
      <w:r>
        <w:rPr>
          <w:rFonts w:ascii="宋体" w:hAnsi="宋体" w:cs="宋体"/>
          <w:color w:val="000000"/>
          <w:spacing w:val="-4"/>
          <w:sz w:val="21"/>
        </w:rPr>
        <w:t>尼卡通中的经典形象）。该书在拉美地区先后发行了</w:t>
      </w:r>
      <w:r>
        <w:rPr>
          <w:rFonts w:ascii="Times New Roman"/>
          <w:color w:val="000000"/>
          <w:spacing w:val="5"/>
          <w:sz w:val="21"/>
        </w:rPr>
        <w:t xml:space="preserve"> </w:t>
      </w:r>
      <w:r>
        <w:rPr>
          <w:rFonts w:ascii="Times New Roman"/>
          <w:color w:val="000000"/>
          <w:spacing w:val="-8"/>
          <w:sz w:val="21"/>
        </w:rPr>
        <w:t>11</w:t>
      </w:r>
      <w:r>
        <w:rPr>
          <w:rFonts w:ascii="Times New Roman"/>
          <w:color w:val="000000"/>
          <w:spacing w:val="8"/>
          <w:sz w:val="21"/>
        </w:rPr>
        <w:t xml:space="preserve"> </w:t>
      </w:r>
      <w:r>
        <w:rPr>
          <w:rFonts w:ascii="宋体" w:hAnsi="宋体" w:cs="宋体"/>
          <w:color w:val="000000"/>
          <w:spacing w:val="0"/>
          <w:sz w:val="21"/>
        </w:rPr>
        <w:t>种版本。这表明（</w:t>
      </w:r>
      <w:r>
        <w:rPr>
          <w:rFonts w:ascii="Times New Roman"/>
          <w:color w:val="000000"/>
          <w:spacing w:val="263"/>
          <w:sz w:val="21"/>
        </w:rPr>
        <w:t xml:space="preserve"> </w:t>
      </w:r>
      <w:r>
        <w:rPr>
          <w:rFonts w:ascii="宋体" w:hAnsi="宋体" w:cs="宋体"/>
          <w:color w:val="000000"/>
          <w:spacing w:val="0"/>
          <w:sz w:val="21"/>
        </w:rPr>
        <w:t>）</w:t>
      </w:r>
    </w:p>
    <w:p w14:paraId="1B94AB6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美国全球霸权战略失败</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全球化进程的发展</w:t>
      </w:r>
    </w:p>
    <w:p w14:paraId="6306F3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拉美文化自主意识增强</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世界殖民体系瓦解</w:t>
      </w:r>
    </w:p>
    <w:p w14:paraId="72997D4F">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2201988D">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05D81F79">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3"/>
          <w:sz w:val="21"/>
        </w:rPr>
        <w:t>北魏孝文帝迁都洛阳之初，大臣高闾认为中原已经基本平定，引用《诗经》“惠此中国，以绥</w:t>
      </w:r>
    </w:p>
    <w:p w14:paraId="32F20E3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四方”之句，劝说孝文帝于此时举行封禅盛典，使君王圣德广布，百姓归附。孝文帝以南北尚未统一为由，</w:t>
      </w:r>
    </w:p>
    <w:p w14:paraId="317E0F6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拒绝了其封禅之请。</w:t>
      </w:r>
    </w:p>
    <w:p w14:paraId="4DED252B">
      <w:pPr>
        <w:spacing w:before="237" w:after="0" w:line="243" w:lineRule="exact"/>
        <w:ind w:left="7229"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改编自《魏书》卷五四</w:t>
      </w:r>
    </w:p>
    <w:p w14:paraId="5350311F">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韩德让是辽朝重要的汉人官员。据《韩德让墓志》记载，他曾在辽圣宗（</w:t>
      </w:r>
      <w:r>
        <w:rPr>
          <w:rFonts w:ascii="Times New Roman"/>
          <w:color w:val="000000"/>
          <w:spacing w:val="0"/>
          <w:sz w:val="21"/>
        </w:rPr>
        <w:t xml:space="preserve">982~1031 </w:t>
      </w:r>
      <w:r>
        <w:rPr>
          <w:rFonts w:ascii="楷体" w:hAnsi="楷体" w:cs="楷体"/>
          <w:color w:val="000000"/>
          <w:spacing w:val="0"/>
          <w:sz w:val="21"/>
        </w:rPr>
        <w:t>年在位）</w:t>
      </w:r>
    </w:p>
    <w:p w14:paraId="05DB07DF">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时期被授予“洛京（洛阳）留守”之职。</w:t>
      </w:r>
    </w:p>
    <w:p w14:paraId="0668A2E5">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注：</w:t>
      </w:r>
      <w:r>
        <w:rPr>
          <w:rFonts w:ascii="Times New Roman"/>
          <w:color w:val="000000"/>
          <w:spacing w:val="0"/>
          <w:sz w:val="21"/>
        </w:rPr>
        <w:t xml:space="preserve">947 </w:t>
      </w:r>
      <w:r>
        <w:rPr>
          <w:rFonts w:ascii="楷体" w:hAnsi="楷体" w:cs="楷体"/>
          <w:color w:val="000000"/>
          <w:spacing w:val="0"/>
          <w:sz w:val="21"/>
        </w:rPr>
        <w:t>年，辽灭后晋，曾占领包括洛阳在内的中原地区，不到一年便失去了对该地区的控制。</w:t>
      </w:r>
    </w:p>
    <w:p w14:paraId="36475DF0">
      <w:pPr>
        <w:spacing w:before="226" w:after="0" w:line="243" w:lineRule="exact"/>
        <w:ind w:left="4708"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改编自万雄飞、司伟伟《辽朝韩德让墓志考释》等</w:t>
      </w:r>
    </w:p>
    <w:p w14:paraId="447F5464">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材料三</w:t>
      </w:r>
      <w:r>
        <w:rPr>
          <w:rFonts w:ascii="Times New Roman"/>
          <w:color w:val="000000"/>
          <w:spacing w:val="158"/>
          <w:sz w:val="21"/>
        </w:rPr>
        <w:t xml:space="preserve"> </w:t>
      </w:r>
      <w:r>
        <w:rPr>
          <w:rFonts w:ascii="楷体" w:hAnsi="楷体" w:cs="楷体"/>
          <w:color w:val="000000"/>
          <w:spacing w:val="0"/>
          <w:sz w:val="21"/>
        </w:rPr>
        <w:t>党项首领元昊创制的西夏文，字形方整，和汉字的八分书相似，而笔画颇为繁复。他让国中</w:t>
      </w:r>
    </w:p>
    <w:p w14:paraId="62421132">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之人用西夏文来纪事，将《孝经》《尔雅》等儒家典籍译成西夏文。</w:t>
      </w:r>
    </w:p>
    <w:p w14:paraId="50D369E2">
      <w:pPr>
        <w:spacing w:before="237" w:after="0" w:line="243" w:lineRule="exact"/>
        <w:ind w:left="7019"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改编自《宋史》卷四八五</w:t>
      </w:r>
    </w:p>
    <w:p w14:paraId="4727078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）综合上述三则材料，可以用来研究哪些历史主题？</w:t>
      </w:r>
    </w:p>
    <w:p w14:paraId="37064E3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
          <w:sz w:val="21"/>
        </w:rPr>
        <w:t>）根据材料并结合所学知识，选择以上任一历史主题，展开论述。（要求：主题明确，史论结合，逻辑</w:t>
      </w:r>
    </w:p>
    <w:p w14:paraId="03E6809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严密，表述清晰）</w:t>
      </w:r>
    </w:p>
    <w:p w14:paraId="371103D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74C4989F">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材料</w:t>
      </w:r>
      <w:r>
        <w:rPr>
          <w:rFonts w:ascii="Times New Roman"/>
          <w:color w:val="000000"/>
          <w:spacing w:val="158"/>
          <w:sz w:val="21"/>
        </w:rPr>
        <w:t xml:space="preserve"> </w:t>
      </w:r>
      <w:r>
        <w:rPr>
          <w:rFonts w:ascii="Times New Roman"/>
          <w:color w:val="000000"/>
          <w:spacing w:val="0"/>
          <w:sz w:val="21"/>
        </w:rPr>
        <w:t xml:space="preserve">1990 </w:t>
      </w:r>
      <w:r>
        <w:rPr>
          <w:rFonts w:ascii="楷体" w:hAnsi="楷体" w:cs="楷体"/>
          <w:color w:val="000000"/>
          <w:spacing w:val="0"/>
          <w:sz w:val="21"/>
        </w:rPr>
        <w:t>年，山东省组织了十余个县（市）对改革开放以来的农村改革进行了经验总结。下面为各</w:t>
      </w:r>
    </w:p>
    <w:p w14:paraId="340C2E06">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县（市）经验总结标题的汇总。</w:t>
      </w:r>
    </w:p>
    <w:p w14:paraId="03948D4C">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商品经济大合唱的决策与初步实践（诸城市）</w:t>
      </w:r>
    </w:p>
    <w:p w14:paraId="3BA10874">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加强乡镇政权建设，推进综合体制改革（莱芜市）</w:t>
      </w:r>
    </w:p>
    <w:p w14:paraId="2AD5142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强化村级组织，保证工作到户（莱西县）</w:t>
      </w:r>
    </w:p>
    <w:p w14:paraId="0FA2BB04">
      <w:pPr>
        <w:spacing w:before="21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5</w:t>
      </w:r>
      <w:r>
        <w:rPr>
          <w:rFonts w:ascii="宋体" w:hAnsi="宋体" w:cs="宋体"/>
          <w:color w:val="000000"/>
          <w:spacing w:val="0"/>
          <w:sz w:val="21"/>
        </w:rPr>
        <w:t>页</w:t>
      </w:r>
    </w:p>
    <w:p w14:paraId="1350DC78">
      <w:pPr>
        <w:spacing w:before="0" w:after="0" w:line="0" w:lineRule="exact"/>
        <w:ind w:left="0" w:right="0" w:firstLine="0"/>
        <w:jc w:val="left"/>
        <w:rPr>
          <w:rFonts w:ascii="Arial"/>
          <w:color w:val="FF0000"/>
          <w:spacing w:val="0"/>
          <w:sz w:val="2"/>
        </w:rPr>
      </w:pPr>
    </w:p>
    <w:p w14:paraId="433699B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EAD4CF0">
      <w:pPr>
        <w:sectPr>
          <w:pgSz w:w="11900" w:h="16840"/>
          <w:pgMar w:top="1440" w:right="100" w:bottom="0" w:left="1080" w:header="720" w:footer="720" w:gutter="0"/>
          <w:pgNumType w:start="1"/>
          <w:cols w:space="720" w:num="1"/>
          <w:docGrid w:linePitch="1" w:charSpace="0"/>
        </w:sectPr>
      </w:pPr>
    </w:p>
    <w:p w14:paraId="020B2D83">
      <w:pPr>
        <w:spacing w:before="0" w:after="0" w:line="0" w:lineRule="exact"/>
        <w:ind w:left="0" w:right="0" w:firstLine="0"/>
        <w:jc w:val="left"/>
        <w:rPr>
          <w:rFonts w:ascii="Arial"/>
          <w:color w:val="FF0000"/>
          <w:spacing w:val="0"/>
          <w:sz w:val="2"/>
        </w:rPr>
      </w:pPr>
      <w:bookmarkStart w:id="0" w:name="_GoBack"/>
      <w:bookmarkEnd w:id="0"/>
    </w:p>
    <w:p w14:paraId="626600F8">
      <w:pPr>
        <w:spacing w:before="0" w:after="0" w:line="220" w:lineRule="exact"/>
        <w:ind w:left="420" w:right="0" w:firstLine="0"/>
        <w:jc w:val="left"/>
        <w:rPr>
          <w:rFonts w:ascii="Times New Roman"/>
          <w:color w:val="000000"/>
          <w:spacing w:val="0"/>
          <w:sz w:val="21"/>
        </w:rPr>
      </w:pPr>
      <w:r>
        <w:pict>
          <v:shape id="_x000016" o:spid="_x0000_s104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7" o:spid="_x0000_s104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8" o:spid="_x0000_s1044" o:spt="75" type="#_x0000_t75" style="position:absolute;left:0pt;margin-left:47pt;margin-top:416.25pt;height:182.85pt;width:419.2pt;mso-position-horizontal-relative:page;mso-position-vertical-relative:page;z-index:-251657216;mso-width-relative:page;mso-height-relative:page;" filled="f" coordsize="21600,21600">
            <v:path/>
            <v:fill on="f" focussize="0,0"/>
            <v:stroke/>
            <v:imagedata r:id="rId19" o:title=""/>
            <o:lock v:ext="edit" aspectratio="t"/>
          </v:shape>
        </w:pict>
      </w:r>
      <w:r>
        <w:rPr>
          <w:rFonts w:ascii="楷体" w:hAnsi="楷体" w:cs="楷体"/>
          <w:color w:val="000000"/>
          <w:spacing w:val="0"/>
          <w:sz w:val="21"/>
        </w:rPr>
        <w:t>组织发展村级经济是深化农村改革的重大任务（牟平县）</w:t>
      </w:r>
    </w:p>
    <w:p w14:paraId="25FB829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继往开来，坚持不懈（五莲县）</w:t>
      </w:r>
    </w:p>
    <w:p w14:paraId="521D785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改革流通体制，组建农村商品经济运行新机制（招远县）</w:t>
      </w:r>
    </w:p>
    <w:p w14:paraId="4F507166">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培育市场，繁荣经济</w:t>
      </w:r>
      <w:r>
        <w:rPr>
          <w:rFonts w:ascii="Times New Roman" w:hAnsi="Times New Roman" w:cs="Times New Roman"/>
          <w:color w:val="000000"/>
          <w:spacing w:val="0"/>
          <w:sz w:val="21"/>
        </w:rPr>
        <w:t>——</w:t>
      </w:r>
      <w:r>
        <w:rPr>
          <w:rFonts w:ascii="楷体" w:hAnsi="楷体" w:cs="楷体"/>
          <w:color w:val="000000"/>
          <w:spacing w:val="0"/>
          <w:sz w:val="21"/>
        </w:rPr>
        <w:t>寿光县农村改革回顾（寿光县）</w:t>
      </w:r>
    </w:p>
    <w:p w14:paraId="2B6750CD">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繁荣经济的立体舞台</w:t>
      </w:r>
      <w:r>
        <w:rPr>
          <w:rFonts w:ascii="Times New Roman" w:hAnsi="Times New Roman" w:cs="Times New Roman"/>
          <w:color w:val="000000"/>
          <w:spacing w:val="0"/>
          <w:sz w:val="21"/>
        </w:rPr>
        <w:t>——</w:t>
      </w:r>
      <w:r>
        <w:rPr>
          <w:rFonts w:ascii="楷体" w:hAnsi="楷体" w:cs="楷体"/>
          <w:color w:val="000000"/>
          <w:spacing w:val="0"/>
          <w:sz w:val="21"/>
        </w:rPr>
        <w:t>即墨服装专业批发市场的兴起与发展（即墨县）</w:t>
      </w:r>
    </w:p>
    <w:p w14:paraId="0936D7A2">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创办农村合作基金会，巩固壮大集体经济（滕州市）</w:t>
      </w:r>
    </w:p>
    <w:p w14:paraId="02764EC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科技兴农的有益探索（禹城县）</w:t>
      </w:r>
    </w:p>
    <w:p w14:paraId="34780048">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抓热点，办实事（郯城县）</w:t>
      </w:r>
    </w:p>
    <w:p w14:paraId="028A3BA1">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政务公开的实践与思考（昌乐县）</w:t>
      </w:r>
    </w:p>
    <w:p w14:paraId="0260801D">
      <w:pPr>
        <w:spacing w:before="237" w:after="0" w:line="243" w:lineRule="exact"/>
        <w:ind w:left="5128"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据高昌礼主编《县级改革的理论与实践》整理</w:t>
      </w:r>
    </w:p>
    <w:p w14:paraId="216646E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）根据材料并结合所学知识，概括这一历史时期山东农村改革举措的特点。</w:t>
      </w:r>
    </w:p>
    <w:p w14:paraId="76D75AF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）根据材料并结合所学知识，从改革参与者的角度分析这一历史时期山东农村改革取得显著成效的原因。</w:t>
      </w:r>
    </w:p>
    <w:p w14:paraId="0554D03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）根据材料并结合所学知识，谈谈这一历史时期农村改革的影响。</w:t>
      </w:r>
    </w:p>
    <w:p w14:paraId="67E60B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6481896D">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p>
    <w:p w14:paraId="03726A77">
      <w:pPr>
        <w:spacing w:before="2365" w:after="0" w:line="243" w:lineRule="exact"/>
        <w:ind w:left="0" w:right="0" w:firstLine="0"/>
        <w:jc w:val="left"/>
        <w:rPr>
          <w:rFonts w:ascii="Times New Roman"/>
          <w:color w:val="000000"/>
          <w:spacing w:val="0"/>
          <w:sz w:val="21"/>
        </w:rPr>
      </w:pPr>
      <w:r>
        <w:rPr>
          <w:rFonts w:ascii="楷体" w:hAnsi="楷体" w:cs="楷体"/>
          <w:color w:val="000000"/>
          <w:spacing w:val="0"/>
          <w:sz w:val="21"/>
        </w:rPr>
        <w:t>图</w:t>
      </w:r>
      <w:r>
        <w:rPr>
          <w:rFonts w:ascii="Times New Roman"/>
          <w:color w:val="000000"/>
          <w:spacing w:val="0"/>
          <w:sz w:val="21"/>
        </w:rPr>
        <w:t xml:space="preserve"> 1</w:t>
      </w:r>
      <w:r>
        <w:rPr>
          <w:rFonts w:ascii="Times New Roman"/>
          <w:color w:val="000000"/>
          <w:spacing w:val="158"/>
          <w:sz w:val="21"/>
        </w:rPr>
        <w:t xml:space="preserve"> </w:t>
      </w:r>
      <w:r>
        <w:rPr>
          <w:rFonts w:ascii="楷体" w:hAnsi="楷体" w:cs="楷体"/>
          <w:color w:val="000000"/>
          <w:spacing w:val="0"/>
          <w:sz w:val="21"/>
        </w:rPr>
        <w:t>洗脸台，约</w:t>
      </w:r>
      <w:r>
        <w:rPr>
          <w:rFonts w:ascii="Times New Roman"/>
          <w:color w:val="000000"/>
          <w:spacing w:val="0"/>
          <w:sz w:val="21"/>
        </w:rPr>
        <w:t xml:space="preserve"> 1745</w:t>
      </w:r>
      <w:r>
        <w:rPr>
          <w:rFonts w:ascii="Times New Roman"/>
          <w:color w:val="000000"/>
          <w:spacing w:val="623"/>
          <w:sz w:val="21"/>
        </w:rPr>
        <w:t xml:space="preserve"> </w:t>
      </w:r>
      <w:r>
        <w:rPr>
          <w:rFonts w:ascii="楷体" w:hAnsi="楷体" w:cs="楷体"/>
          <w:color w:val="000000"/>
          <w:spacing w:val="0"/>
          <w:sz w:val="21"/>
        </w:rPr>
        <w:t>图</w:t>
      </w:r>
      <w:r>
        <w:rPr>
          <w:rFonts w:ascii="Times New Roman"/>
          <w:color w:val="000000"/>
          <w:spacing w:val="0"/>
          <w:sz w:val="21"/>
        </w:rPr>
        <w:t xml:space="preserve"> 2</w:t>
      </w:r>
      <w:r>
        <w:rPr>
          <w:rFonts w:ascii="Times New Roman"/>
          <w:color w:val="000000"/>
          <w:spacing w:val="158"/>
          <w:sz w:val="21"/>
        </w:rPr>
        <w:t xml:space="preserve"> </w:t>
      </w:r>
      <w:r>
        <w:rPr>
          <w:rFonts w:ascii="楷体" w:hAnsi="楷体" w:cs="楷体"/>
          <w:color w:val="000000"/>
          <w:spacing w:val="0"/>
          <w:sz w:val="21"/>
        </w:rPr>
        <w:t>椅子，</w:t>
      </w:r>
      <w:r>
        <w:rPr>
          <w:rFonts w:ascii="Times New Roman"/>
          <w:color w:val="000000"/>
          <w:spacing w:val="0"/>
          <w:sz w:val="21"/>
        </w:rPr>
        <w:t xml:space="preserve">1925 </w:t>
      </w:r>
      <w:r>
        <w:rPr>
          <w:rFonts w:ascii="楷体" w:hAnsi="楷体" w:cs="楷体"/>
          <w:color w:val="000000"/>
          <w:spacing w:val="0"/>
          <w:sz w:val="21"/>
        </w:rPr>
        <w:t>年，德国，</w:t>
      </w:r>
      <w:r>
        <w:rPr>
          <w:rFonts w:ascii="Times New Roman"/>
          <w:color w:val="000000"/>
          <w:spacing w:val="-7"/>
          <w:sz w:val="21"/>
        </w:rPr>
        <w:t xml:space="preserve"> </w:t>
      </w:r>
      <w:r>
        <w:rPr>
          <w:rFonts w:ascii="楷体" w:hAnsi="楷体" w:cs="楷体"/>
          <w:color w:val="000000"/>
          <w:spacing w:val="0"/>
          <w:sz w:val="21"/>
        </w:rPr>
        <w:t>图</w:t>
      </w:r>
      <w:r>
        <w:rPr>
          <w:rFonts w:ascii="Times New Roman"/>
          <w:color w:val="000000"/>
          <w:spacing w:val="0"/>
          <w:sz w:val="21"/>
        </w:rPr>
        <w:t xml:space="preserve"> 3</w:t>
      </w:r>
      <w:r>
        <w:rPr>
          <w:rFonts w:ascii="Times New Roman"/>
          <w:color w:val="000000"/>
          <w:spacing w:val="158"/>
          <w:sz w:val="21"/>
        </w:rPr>
        <w:t xml:space="preserve"> </w:t>
      </w:r>
      <w:r>
        <w:rPr>
          <w:rFonts w:ascii="楷体" w:hAnsi="楷体" w:cs="楷体"/>
          <w:color w:val="000000"/>
          <w:spacing w:val="0"/>
          <w:sz w:val="21"/>
        </w:rPr>
        <w:t>台灯，</w:t>
      </w:r>
      <w:r>
        <w:rPr>
          <w:rFonts w:ascii="Times New Roman"/>
          <w:color w:val="000000"/>
          <w:spacing w:val="0"/>
          <w:sz w:val="21"/>
        </w:rPr>
        <w:t xml:space="preserve">1928 </w:t>
      </w:r>
      <w:r>
        <w:rPr>
          <w:rFonts w:ascii="楷体" w:hAnsi="楷体" w:cs="楷体"/>
          <w:color w:val="000000"/>
          <w:spacing w:val="0"/>
          <w:sz w:val="21"/>
        </w:rPr>
        <w:t>年，德国，</w:t>
      </w:r>
    </w:p>
    <w:p w14:paraId="3D0AD8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~1749 </w:t>
      </w:r>
      <w:r>
        <w:rPr>
          <w:rFonts w:ascii="楷体" w:hAnsi="楷体" w:cs="楷体"/>
          <w:color w:val="000000"/>
          <w:spacing w:val="0"/>
          <w:sz w:val="21"/>
        </w:rPr>
        <w:t>年，法国，松木和橡</w:t>
      </w:r>
      <w:r>
        <w:rPr>
          <w:rFonts w:ascii="Times New Roman"/>
          <w:color w:val="000000"/>
          <w:spacing w:val="247"/>
          <w:sz w:val="21"/>
        </w:rPr>
        <w:t xml:space="preserve"> </w:t>
      </w:r>
      <w:r>
        <w:rPr>
          <w:rFonts w:ascii="楷体" w:hAnsi="楷体" w:cs="楷体"/>
          <w:color w:val="000000"/>
          <w:spacing w:val="0"/>
          <w:sz w:val="21"/>
        </w:rPr>
        <w:t>框架由镀镍钢管制成，椅背</w:t>
      </w:r>
      <w:r>
        <w:rPr>
          <w:rFonts w:ascii="Times New Roman"/>
          <w:color w:val="000000"/>
          <w:spacing w:val="203"/>
          <w:sz w:val="21"/>
        </w:rPr>
        <w:t xml:space="preserve"> </w:t>
      </w:r>
      <w:r>
        <w:rPr>
          <w:rFonts w:ascii="楷体" w:hAnsi="楷体" w:cs="楷体"/>
          <w:color w:val="000000"/>
          <w:spacing w:val="0"/>
          <w:sz w:val="21"/>
        </w:rPr>
        <w:t>有可旋转支架，可调节灯光</w:t>
      </w:r>
    </w:p>
    <w:p w14:paraId="7014931D">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木饰面，镶嵌珍珠母和象牙。</w:t>
      </w:r>
      <w:r>
        <w:rPr>
          <w:rFonts w:ascii="Times New Roman"/>
          <w:color w:val="000000"/>
          <w:spacing w:val="-7"/>
          <w:sz w:val="21"/>
        </w:rPr>
        <w:t xml:space="preserve"> </w:t>
      </w:r>
      <w:r>
        <w:rPr>
          <w:rFonts w:ascii="楷体" w:hAnsi="楷体" w:cs="楷体"/>
          <w:color w:val="000000"/>
          <w:spacing w:val="0"/>
          <w:sz w:val="21"/>
        </w:rPr>
        <w:t>为织物。</w:t>
      </w:r>
      <w:r>
        <w:rPr>
          <w:rFonts w:ascii="Times New Roman"/>
          <w:color w:val="000000"/>
          <w:spacing w:val="1883"/>
          <w:sz w:val="21"/>
        </w:rPr>
        <w:t xml:space="preserve"> </w:t>
      </w:r>
      <w:r>
        <w:rPr>
          <w:rFonts w:ascii="楷体" w:hAnsi="楷体" w:cs="楷体"/>
          <w:color w:val="000000"/>
          <w:spacing w:val="0"/>
          <w:sz w:val="21"/>
        </w:rPr>
        <w:t>照射角度。</w:t>
      </w:r>
    </w:p>
    <w:p w14:paraId="3C6C594A">
      <w:pPr>
        <w:spacing w:before="327" w:after="0" w:line="243" w:lineRule="exact"/>
        <w:ind w:left="5128"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据［美］维克多·马格林《世界设计史》整理</w:t>
      </w:r>
    </w:p>
    <w:p w14:paraId="311D2F2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根据材料并结合所学知识，评析</w:t>
      </w:r>
      <w:r>
        <w:rPr>
          <w:rFonts w:ascii="Times New Roman"/>
          <w:color w:val="000000"/>
          <w:spacing w:val="0"/>
          <w:sz w:val="21"/>
        </w:rPr>
        <w:t xml:space="preserve"> 20 </w:t>
      </w:r>
      <w:r>
        <w:rPr>
          <w:rFonts w:ascii="宋体" w:hAnsi="宋体" w:cs="宋体"/>
          <w:color w:val="000000"/>
          <w:spacing w:val="-3"/>
          <w:sz w:val="21"/>
        </w:rPr>
        <w:t>世纪初西方现代工业设计风格的兴起。（要求：史论结合，逻辑严密，</w:t>
      </w:r>
    </w:p>
    <w:p w14:paraId="79405F7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表述清晰）</w:t>
      </w:r>
    </w:p>
    <w:p w14:paraId="0F3C2893">
      <w:pPr>
        <w:spacing w:before="211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5</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6B5612B0-854B-4084-8516-41419B2B3EF6}"/>
  </w:font>
  <w:font w:name="宋体">
    <w:panose1 w:val="02010600030101010101"/>
    <w:charset w:val="86"/>
    <w:family w:val="auto"/>
    <w:pitch w:val="default"/>
    <w:sig w:usb0="00000003" w:usb1="288F0000" w:usb2="00000006" w:usb3="00000000" w:csb0="00040001" w:csb1="00000000"/>
    <w:embedRegular r:id="rId2" w:fontKey="{B55216BB-E475-4D57-A745-0492CA175EDD}"/>
  </w:font>
  <w:font w:name="Wingdings">
    <w:panose1 w:val="05000000000000000000"/>
    <w:charset w:val="02"/>
    <w:family w:val="auto"/>
    <w:pitch w:val="default"/>
    <w:sig w:usb0="00000000" w:usb1="00000000" w:usb2="00000000" w:usb3="00000000" w:csb0="80000000" w:csb1="00000000"/>
    <w:embedRegular r:id="rId3" w:fontKey="{7461AEB4-4879-4180-8197-2A4DB0F223F8}"/>
  </w:font>
  <w:font w:name="Arial">
    <w:panose1 w:val="020B0604020202020204"/>
    <w:charset w:val="01"/>
    <w:family w:val="swiss"/>
    <w:pitch w:val="default"/>
    <w:sig w:usb0="E0002AFF" w:usb1="C0007843" w:usb2="00000009" w:usb3="00000000" w:csb0="400001FF" w:csb1="FFFF0000"/>
    <w:embedRegular r:id="rId4" w:fontKey="{A8A6E441-AD66-4F98-B0B9-95C709D28F8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CA234CC5-7F1B-4166-AF91-03D6DBAE1C6C}"/>
  </w:font>
  <w:font w:name="Symbol">
    <w:panose1 w:val="05050102010706020507"/>
    <w:charset w:val="02"/>
    <w:family w:val="roman"/>
    <w:pitch w:val="default"/>
    <w:sig w:usb0="00000000" w:usb1="00000000" w:usb2="00000000" w:usb3="00000000" w:csb0="80000000" w:csb1="00000000"/>
    <w:embedRegular r:id="rId6" w:fontKey="{363E4BBB-69FB-4DC9-BA03-FC3B0D48B770}"/>
  </w:font>
  <w:font w:name="Calibri">
    <w:panose1 w:val="020F0502020204030204"/>
    <w:charset w:val="00"/>
    <w:family w:val="swiss"/>
    <w:pitch w:val="default"/>
    <w:sig w:usb0="E00002FF" w:usb1="4000ACFF" w:usb2="00000001" w:usb3="00000000" w:csb0="2000019F" w:csb1="00000000"/>
    <w:embedRegular r:id="rId7" w:fontKey="{7F0A8EE5-219F-4367-990A-C3E9B1C9B731}"/>
  </w:font>
  <w:font w:name="楷体">
    <w:panose1 w:val="02010609060101010101"/>
    <w:charset w:val="86"/>
    <w:family w:val="auto"/>
    <w:pitch w:val="default"/>
    <w:sig w:usb0="800002BF" w:usb1="38CF7CFA" w:usb2="00000016" w:usb3="00000000" w:csb0="00040001" w:csb1="00000000"/>
    <w:embedRegular r:id="rId8" w:fontKey="{C7673FAE-459A-47BB-A107-552DB6CBC4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631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F00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EC8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2A6E3FC3"/>
    <w:rsid w:val="66F04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qFormat/>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10</Pages>
  <Words>3280</Words>
  <Characters>3435</Characters>
  <Lines>0</Lines>
  <Paragraphs>133</Paragraphs>
  <TotalTime>3</TotalTime>
  <ScaleCrop>false</ScaleCrop>
  <LinksUpToDate>false</LinksUpToDate>
  <CharactersWithSpaces>3646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2026-06-11T09:52:00Z</dcterms:created>
  <dc:creator>Administrator</dc:creator>
  <cp:lastModifiedBy>上帝掷骰子吗</cp:lastModifiedBy>
  <dcterms:modified xsi:type="dcterms:W3CDTF">2026-09-18T16:48:21Z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6829E17E7D50463481C8A005CB8E0345_12</vt:lpwstr>
  </property>
</Properties>
</file>