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9042A">
      <w:pPr>
        <w:spacing w:before="0" w:after="0" w:line="359" w:lineRule="exact"/>
        <w:ind w:left="3396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318.65pt;margin-top:321.7pt;height:16.25pt;width:12.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60.55pt;margin-top:435.75pt;height:8.75pt;width:4.2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53pt;margin-top:543.8pt;height:184.35pt;width:269.8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171.55pt;margin-top:732.95pt;height:16.25pt;width:12.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年全国新课标卷</w:t>
      </w:r>
    </w:p>
    <w:p w14:paraId="4B0B93BC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地理</w:t>
      </w:r>
    </w:p>
    <w:p w14:paraId="7FEA8A5A">
      <w:pPr>
        <w:spacing w:before="25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4668E6F2">
      <w:pPr>
        <w:spacing w:before="209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吉林省通榆县风能资源十分丰富。</w:t>
      </w:r>
      <w:r>
        <w:rPr>
          <w:rFonts w:ascii="Times New Roman"/>
          <w:color w:val="000000"/>
          <w:spacing w:val="0"/>
          <w:sz w:val="21"/>
        </w:rPr>
        <w:t xml:space="preserve">2009 </w:t>
      </w:r>
      <w:r>
        <w:rPr>
          <w:rFonts w:ascii="楷体" w:hAnsi="楷体" w:cs="楷体"/>
          <w:color w:val="000000"/>
          <w:spacing w:val="0"/>
          <w:sz w:val="21"/>
        </w:rPr>
        <w:t>年，当地开始打造风电装备制造产业集群，现已构建包括制造</w:t>
      </w:r>
    </w:p>
    <w:p w14:paraId="34C9484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主机叶片、塔筒、电机、紧固件等组件的全产业链，并形成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风电场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楷体" w:hAnsi="楷体" w:cs="楷体"/>
          <w:color w:val="000000"/>
          <w:spacing w:val="0"/>
          <w:sz w:val="21"/>
        </w:rPr>
        <w:t>制造基地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楷体" w:hAnsi="楷体" w:cs="楷体"/>
          <w:color w:val="000000"/>
          <w:spacing w:val="0"/>
          <w:sz w:val="21"/>
        </w:rPr>
        <w:t>风电消纳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联动发展模式。</w:t>
      </w:r>
    </w:p>
    <w:p w14:paraId="7299386A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为促进风电消纳，当地引进电池储能、氢化工、大数据、机械制造等产业，并建设</w:t>
      </w:r>
      <w:r>
        <w:rPr>
          <w:rFonts w:ascii="宋体" w:hAnsi="宋体" w:cs="宋体"/>
          <w:color w:val="000000"/>
          <w:spacing w:val="0"/>
          <w:sz w:val="21"/>
        </w:rPr>
        <w:t>“</w:t>
      </w:r>
      <w:r>
        <w:rPr>
          <w:rFonts w:ascii="楷体" w:hAnsi="楷体" w:cs="楷体"/>
          <w:color w:val="000000"/>
          <w:spacing w:val="0"/>
          <w:sz w:val="21"/>
        </w:rPr>
        <w:t>吉电南送</w:t>
      </w:r>
      <w:r>
        <w:rPr>
          <w:rFonts w:ascii="宋体" w:hAnsi="宋体" w:cs="宋体"/>
          <w:color w:val="000000"/>
          <w:spacing w:val="0"/>
          <w:sz w:val="21"/>
        </w:rPr>
        <w:t>”</w:t>
      </w:r>
      <w:r>
        <w:rPr>
          <w:rFonts w:ascii="楷体" w:hAnsi="楷体" w:cs="楷体"/>
          <w:color w:val="000000"/>
          <w:spacing w:val="0"/>
          <w:sz w:val="21"/>
        </w:rPr>
        <w:t>超高压输</w:t>
      </w:r>
    </w:p>
    <w:p w14:paraId="2ACAF796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电工程。据此完成下面小题。</w:t>
      </w:r>
    </w:p>
    <w:p w14:paraId="08D839F3">
      <w:pPr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当地形成风电装备制造产业集群，可为风电场节约（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6E2A95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①组件运输成本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②基础建设成本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③运营维护成本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④环境保护成本</w:t>
      </w:r>
    </w:p>
    <w:p w14:paraId="6EA0147F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404AEC55">
      <w:pPr>
        <w:spacing w:before="34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当地吸引电池储能、氢化工、大数据、机械制造等产业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主导区位因素是（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ACCBB22">
      <w:pPr>
        <w:spacing w:before="26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交通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劳动力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能源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技术</w:t>
      </w:r>
    </w:p>
    <w:p w14:paraId="79DA50E2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当地实施“风电场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制造基地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风电消纳”联动发展模式，可以（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0ACF94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①规避产能过剩风险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②降低劳动用工价格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③减缓技术升级压力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④促进风能资源利用</w:t>
      </w:r>
    </w:p>
    <w:p w14:paraId="37C55B9F">
      <w:pPr>
        <w:spacing w:before="24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②④</w:t>
      </w:r>
    </w:p>
    <w:p w14:paraId="11D2DB29">
      <w:pPr>
        <w:spacing w:before="392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江西省吉安市渼陂（měibēi）古村，地处赣江支流富水河下游河畔，地势低洼，常遭洪涝灾害。为</w:t>
      </w:r>
    </w:p>
    <w:p w14:paraId="7A75AF5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4"/>
          <w:sz w:val="21"/>
        </w:rPr>
        <w:t>减轻水患，早期人们挖掘水塘，后逐渐形成“两河一塘（群）”水系（下图）：富水河水经进水闸入村后分</w:t>
      </w:r>
    </w:p>
    <w:p w14:paraId="5D895B58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为两支，各串联若干水塘，并连接街巷的排水沟渠，最后汇入渼水；渼水经分流水闸分为两支汇入富水河。</w:t>
      </w:r>
    </w:p>
    <w:p w14:paraId="3D894CA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据此完成下面小题。</w:t>
      </w:r>
    </w:p>
    <w:p w14:paraId="577448C0">
      <w:pPr>
        <w:spacing w:before="398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渼陂古村早期挖掘水塘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1B70C26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E2F7AB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1E037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92EFCB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F5E158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4" w:name="_GoBack"/>
      <w:bookmarkEnd w:id="4"/>
    </w:p>
    <w:p w14:paraId="4D9A8AA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6" o:spid="_x0000_s1036" o:spt="75" type="#_x0000_t75" style="position:absolute;left:0pt;margin-left:404.15pt;margin-top:72.55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212.1pt;margin-top:473.3pt;height:5.75pt;width: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16.8pt;margin-top:769.7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53pt;margin-top:257.15pt;height:133.35pt;width:221.8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提供水源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方便运输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养殖水产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蓄积雨洪</w:t>
      </w:r>
    </w:p>
    <w:p w14:paraId="3B95A1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渼陂古村“两河一塘（群）”水系在有效防御水患的同时，实现了村落内（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45495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水资源节约利用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引水排水等量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水体不断更新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地下水位下降</w:t>
      </w:r>
    </w:p>
    <w:p w14:paraId="5F037F0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渼陂古村治水模式对生态建设的启示是（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A30B40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广泛植树种草，加快碳汇建设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因地制宜治水，合理利用自然</w:t>
      </w:r>
    </w:p>
    <w:p w14:paraId="079AFE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加强雨污分流，促进环境改善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减少人类干预，实现自然恢复</w:t>
      </w:r>
    </w:p>
    <w:p w14:paraId="0615EB2F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1999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-2"/>
          <w:sz w:val="21"/>
        </w:rPr>
        <w:t>年，广西南宁国家基本气象站从城中搬迁至城郊，并在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2000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年对新旧站主要气象要素进行对比观</w:t>
      </w:r>
    </w:p>
    <w:p w14:paraId="0ED3F38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测。下图示意观测的月平均气压变化。据此完成下面小题。</w:t>
      </w:r>
    </w:p>
    <w:p w14:paraId="20252FCB">
      <w:pPr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根据图示新旧气象站气压差异，可以推断新站比旧站（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D8391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海拔高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纬度高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距海远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面积小</w:t>
      </w:r>
    </w:p>
    <w:p w14:paraId="3B38CC3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该气象站观测的主要气象要素中，与图示气压年内变化相关度最高的是（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17E350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湿度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风速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风向</w:t>
      </w:r>
    </w:p>
    <w:p w14:paraId="4E891145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我国温带湿润区某盆地内分布着海拔约</w:t>
      </w:r>
      <w:r>
        <w:rPr>
          <w:rFonts w:ascii="Times New Roman"/>
          <w:color w:val="000000"/>
          <w:spacing w:val="0"/>
          <w:sz w:val="21"/>
        </w:rPr>
        <w:t xml:space="preserve"> 280 </w:t>
      </w:r>
      <w:r>
        <w:rPr>
          <w:rFonts w:ascii="楷体" w:hAnsi="楷体" w:cs="楷体"/>
          <w:color w:val="000000"/>
          <w:spacing w:val="0"/>
          <w:sz w:val="21"/>
        </w:rPr>
        <w:t>米、地势平坦的台地和海拔</w:t>
      </w:r>
      <w:r>
        <w:rPr>
          <w:rFonts w:ascii="Times New Roman"/>
          <w:color w:val="000000"/>
          <w:spacing w:val="0"/>
          <w:sz w:val="21"/>
        </w:rPr>
        <w:t xml:space="preserve"> 220~240 </w:t>
      </w:r>
      <w:r>
        <w:rPr>
          <w:rFonts w:ascii="楷体" w:hAnsi="楷体" w:cs="楷体"/>
          <w:color w:val="000000"/>
          <w:spacing w:val="0"/>
          <w:sz w:val="21"/>
        </w:rPr>
        <w:t>米的河流谷地。台地</w:t>
      </w:r>
    </w:p>
    <w:p w14:paraId="646061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基岩为沉积岩，风化物颗粒小、质地黏重；谷地地下水位常接近地表。盆地四周分布着海拔约</w:t>
      </w:r>
      <w:r>
        <w:rPr>
          <w:rFonts w:ascii="Times New Roman"/>
          <w:color w:val="000000"/>
          <w:spacing w:val="0"/>
          <w:sz w:val="21"/>
        </w:rPr>
        <w:t xml:space="preserve"> 380 </w:t>
      </w:r>
      <w:r>
        <w:rPr>
          <w:rFonts w:ascii="楷体" w:hAnsi="楷体" w:cs="楷体"/>
          <w:color w:val="000000"/>
          <w:spacing w:val="0"/>
          <w:sz w:val="21"/>
        </w:rPr>
        <w:t>米的低</w:t>
      </w:r>
    </w:p>
    <w:p w14:paraId="1FA2316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缓花岗岩丘陵，是该区域的自然地带植被和土壤分布区；盆地北缘有一座海拔约</w:t>
      </w:r>
      <w:r>
        <w:rPr>
          <w:rFonts w:ascii="Times New Roman"/>
          <w:color w:val="000000"/>
          <w:spacing w:val="0"/>
          <w:sz w:val="21"/>
        </w:rPr>
        <w:t xml:space="preserve"> 880 </w:t>
      </w:r>
      <w:r>
        <w:rPr>
          <w:rFonts w:ascii="楷体" w:hAnsi="楷体" w:cs="楷体"/>
          <w:color w:val="000000"/>
          <w:spacing w:val="0"/>
          <w:sz w:val="21"/>
        </w:rPr>
        <w:t>米、坡面陡峭的花岗</w:t>
      </w:r>
    </w:p>
    <w:p w14:paraId="332549A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岩山峰，成为盆地理想的眺望点。据此完成下面小题。</w:t>
      </w:r>
    </w:p>
    <w:p w14:paraId="67F61BA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盆地北缘陡蛸的花岗岩山峰应是（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508F7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火山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断块山</w:t>
      </w:r>
      <w:r>
        <w:rPr>
          <w:rFonts w:ascii="Times New Roman"/>
          <w:color w:val="000000"/>
          <w:spacing w:val="14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背斜山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向斜山</w:t>
      </w:r>
    </w:p>
    <w:p w14:paraId="0A86C1B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花岗岩山峰未发育自然地带土壤，主要是因为山峰（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605A9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气温较低，风化强度较弱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植被稀疏，土壤腐殖质少</w:t>
      </w:r>
    </w:p>
    <w:p w14:paraId="377E5E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成土母质黏重，地表过湿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坡面陡峭，水土不易留存</w:t>
      </w:r>
    </w:p>
    <w:p w14:paraId="49DDB23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台地土壤比丘陵区土壤含水量高的原因是台地（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2BEA5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降水更多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河流补给多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蒸发更弱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排水和下渗不畅</w:t>
      </w:r>
    </w:p>
    <w:p w14:paraId="5B237789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BA77655">
      <w:pPr>
        <w:spacing w:before="9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E02451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CF3B85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A1F476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2" o:spid="_x0000_s1042" o:spt="75" type="#_x0000_t75" style="position:absolute;left:0pt;margin-left:404.15pt;margin-top:72.55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53pt;margin-top:212.9pt;height:127.3pt;width:376.4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53pt;margin-top:582.1pt;height:185.1pt;width:276.6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10B7C789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炒货产业进入门槛低，但做大做强难。改革开放后，安徽芜湖某个体户率先创立了炒制瓜子品牌，产</w:t>
      </w:r>
    </w:p>
    <w:p w14:paraId="08B9654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品供不应求。在此示范效应下，安徽以合肥、芜湖为中心的炒货产业迅速发展，并带动配套产业发展。经</w:t>
      </w:r>
    </w:p>
    <w:p w14:paraId="2846317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过一段时期的激烈竞争，安徽形成数家在全国炒货产业中举足轻重的企业。其中，总部在合肥的甲公司以</w:t>
      </w:r>
    </w:p>
    <w:p w14:paraId="2C8EFF3A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炒制葵花子为主，通过革新工艺、加大宣传、保障原料供应等，发展成为我国著名的炒货企业。下图示意</w:t>
      </w:r>
    </w:p>
    <w:p w14:paraId="2CCD9695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甲公司与西北地区向日葵种植区关系的发展。近年来，向日葵种植区也创建了炒制葵花子自主品牌。</w:t>
      </w:r>
    </w:p>
    <w:p w14:paraId="0BCD177C">
      <w:pPr>
        <w:spacing w:before="30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）简述安徽形成较多全国著名炒货企业的有利条件。</w:t>
      </w:r>
    </w:p>
    <w:p w14:paraId="386050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）自图示阶段二开始，甲公司以订单方式要求农户种植指定品种。指出甲公司这样做对提高产品竞争力</w:t>
      </w:r>
    </w:p>
    <w:p w14:paraId="5783A7F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的益处及对当地向日葵种植的积极影响。</w:t>
      </w:r>
    </w:p>
    <w:p w14:paraId="292A1C18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）说明阶段三甲公司在原料供应基地建加工厂的区位优势。</w:t>
      </w:r>
    </w:p>
    <w:p w14:paraId="26D9EF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）分析网络销售对向日葵种植区创建炒制葵花子自主品牌的促进作用。</w:t>
      </w:r>
    </w:p>
    <w:p w14:paraId="309E62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6BB285D0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冰川在运动过程中侵蚀下伏地表，常形成</w:t>
      </w:r>
      <w:r>
        <w:rPr>
          <w:rFonts w:ascii="Times New Roman"/>
          <w:color w:val="000000"/>
          <w:spacing w:val="0"/>
          <w:sz w:val="21"/>
        </w:rPr>
        <w:t xml:space="preserve"> U </w:t>
      </w:r>
      <w:r>
        <w:rPr>
          <w:rFonts w:ascii="楷体" w:hAnsi="楷体" w:cs="楷体"/>
          <w:color w:val="000000"/>
          <w:spacing w:val="0"/>
          <w:sz w:val="21"/>
        </w:rPr>
        <w:t>形峡谷和洼地。冰川消融时，挟带的物质就会堆积下来。</w:t>
      </w:r>
    </w:p>
    <w:p w14:paraId="3544137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研究表明，英国湖区国家公园（下图）曾被第四纪冰川覆盖，湖泊和峡谷主要形成于冰川作用。该国家公</w:t>
      </w:r>
    </w:p>
    <w:p w14:paraId="2C7DC5B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园年均降水量超过</w:t>
      </w:r>
      <w:r>
        <w:rPr>
          <w:rFonts w:ascii="Times New Roman"/>
          <w:color w:val="000000"/>
          <w:spacing w:val="0"/>
          <w:sz w:val="21"/>
        </w:rPr>
        <w:t xml:space="preserve"> 2000 </w:t>
      </w:r>
      <w:r>
        <w:rPr>
          <w:rFonts w:ascii="楷体" w:hAnsi="楷体" w:cs="楷体"/>
          <w:color w:val="000000"/>
          <w:spacing w:val="0"/>
          <w:sz w:val="21"/>
        </w:rPr>
        <w:t>毫米；河流流程短但水量较大、水流较急；湖泊较深，最深接近</w:t>
      </w:r>
      <w:r>
        <w:rPr>
          <w:rFonts w:ascii="Times New Roman"/>
          <w:color w:val="000000"/>
          <w:spacing w:val="0"/>
          <w:sz w:val="21"/>
        </w:rPr>
        <w:t xml:space="preserve"> 80 </w:t>
      </w:r>
      <w:r>
        <w:rPr>
          <w:rFonts w:ascii="楷体" w:hAnsi="楷体" w:cs="楷体"/>
          <w:color w:val="000000"/>
          <w:spacing w:val="0"/>
          <w:sz w:val="21"/>
        </w:rPr>
        <w:t>米；山峰众多，</w:t>
      </w:r>
    </w:p>
    <w:p w14:paraId="43BD28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最高峰海拔接近</w:t>
      </w:r>
      <w:r>
        <w:rPr>
          <w:rFonts w:ascii="Times New Roman"/>
          <w:color w:val="000000"/>
          <w:spacing w:val="0"/>
          <w:sz w:val="21"/>
        </w:rPr>
        <w:t xml:space="preserve"> 1000 </w:t>
      </w:r>
      <w:r>
        <w:rPr>
          <w:rFonts w:ascii="楷体" w:hAnsi="楷体" w:cs="楷体"/>
          <w:color w:val="000000"/>
          <w:spacing w:val="0"/>
          <w:sz w:val="21"/>
        </w:rPr>
        <w:t>米。</w:t>
      </w:r>
    </w:p>
    <w:p w14:paraId="11F222AC">
      <w:pPr>
        <w:spacing w:before="385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57533D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A08FAB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088BF9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9" o:spid="_x0000_s1049" o:spt="75" type="#_x0000_t75" style="position:absolute;left:0pt;margin-left:404.15pt;margin-top:72.55pt;height:2.75pt;width:2.7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212.1pt;margin-top:473.3pt;height:5.75pt;width: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116.8pt;margin-top:769.7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226.35pt;margin-top:93.55pt;height:16.25pt;width:12.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247.35pt;margin-top:140.1pt;height:16.25pt;width:12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）描述该国家公园湖泊的分布及形态特征。</w:t>
      </w:r>
    </w:p>
    <w:p w14:paraId="1DAD016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）分析冰川作用对该国家公园湖泊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分布及形态特征的影响。</w:t>
      </w:r>
    </w:p>
    <w:p w14:paraId="55308D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）解释该国家公园河流水量较大、水流较急的原因。</w:t>
      </w:r>
    </w:p>
    <w:p w14:paraId="4E9FEE6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）说明该国家公园湖泊水位季节变化小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气候原因。</w:t>
      </w:r>
    </w:p>
    <w:p w14:paraId="569D4144">
      <w:pPr>
        <w:spacing w:before="1228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768A7EBD-294A-40A5-8D60-DE82BFE4FC12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6511955C-4898-4F65-8479-4EF21A3840D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00C63883-3ABA-4F96-8DBA-8B18BA58E35E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443C5988-3D1D-402F-8A03-D07207B3B5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64CE40AC-7627-4080-9512-20F2534841C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3BD570A-93BC-4BC9-BA6F-3872ACE7727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3724E4C9-1BA2-4941-9319-5473F556AEF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E048597-52A6-4CB5-96D6-3A2D016A92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4FF1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91A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65D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31E6EB2"/>
    <w:rsid w:val="3A23615B"/>
    <w:rsid w:val="58550487"/>
    <w:rsid w:val="6181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6"/>
    <customShpInfo spid="_x0000_s1037"/>
    <customShpInfo spid="_x0000_s1038"/>
    <customShpInfo spid="_x0000_s1039"/>
    <customShpInfo spid="_x0000_s1042"/>
    <customShpInfo spid="_x0000_s1043"/>
    <customShpInfo spid="_x0000_s1044"/>
    <customShpInfo spid="_x0000_s1045"/>
    <customShpInfo spid="_x0000_s1046"/>
    <customShpInfo spid="_x0000_s1049"/>
    <customShpInfo spid="_x0000_s1050"/>
    <customShpInfo spid="_x0000_s1051"/>
    <customShpInfo spid="_x0000_s1052"/>
    <customShpInfo spid="_x0000_s1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8</Pages>
  <Words>1868</Words>
  <Characters>1967</Characters>
  <Lines>0</Lines>
  <Paragraphs>68</Paragraphs>
  <TotalTime>3</TotalTime>
  <ScaleCrop>false</ScaleCrop>
  <LinksUpToDate>false</LinksUpToDate>
  <CharactersWithSpaces>2115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2025-06-24T00:53:00Z</dcterms:created>
  <dc:creator>Administrator</dc:creator>
  <cp:lastModifiedBy>上帝掷骰子吗</cp:lastModifiedBy>
  <dcterms:modified xsi:type="dcterms:W3CDTF">2026-02-10T06:55:49Z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394085B7889D42C799EDD988F68C0F4C_12</vt:lpwstr>
  </property>
</Properties>
</file>