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1E01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12458700</wp:posOffset>
            </wp:positionV>
            <wp:extent cx="342900" cy="431800"/>
            <wp:effectExtent l="0" t="0" r="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月浙江省普通高校招生选考科目考试</w:t>
      </w:r>
    </w:p>
    <w:p w14:paraId="23135238">
      <w:pPr>
        <w:spacing w:line="360" w:lineRule="auto"/>
        <w:jc w:val="center"/>
      </w:pPr>
      <w:r>
        <w:rPr>
          <w:rFonts w:ascii="宋体" w:hAnsi="宋体" w:eastAsia="宋体" w:cs="宋体"/>
          <w:b/>
          <w:color w:val="auto"/>
          <w:sz w:val="32"/>
        </w:rPr>
        <w:t>地理</w:t>
      </w:r>
    </w:p>
    <w:p w14:paraId="3379EDD3">
      <w:pPr>
        <w:spacing w:line="360" w:lineRule="auto"/>
        <w:jc w:val="center"/>
      </w:pPr>
      <w:r>
        <w:rPr>
          <w:rFonts w:ascii="宋体" w:hAnsi="宋体" w:eastAsia="宋体" w:cs="宋体"/>
          <w:b/>
          <w:color w:val="auto"/>
          <w:sz w:val="24"/>
        </w:rPr>
        <w:t>姓名</w:t>
      </w:r>
      <w:r>
        <w:rPr>
          <w:rFonts w:ascii="Times New Roman" w:hAnsi="Times New Roman" w:eastAsia="Times New Roman" w:cs="Times New Roman"/>
          <w:b/>
          <w:color w:val="auto"/>
          <w:sz w:val="24"/>
        </w:rPr>
        <w:t>____</w:t>
      </w:r>
      <w:r>
        <w:rPr>
          <w:rFonts w:ascii="宋体" w:hAnsi="宋体" w:eastAsia="宋体" w:cs="宋体"/>
          <w:b/>
          <w:color w:val="auto"/>
          <w:sz w:val="24"/>
        </w:rPr>
        <w:t>准考证号</w:t>
      </w:r>
      <w:r>
        <w:rPr>
          <w:rFonts w:ascii="Times New Roman" w:hAnsi="Times New Roman" w:eastAsia="Times New Roman" w:cs="Times New Roman"/>
          <w:b/>
          <w:color w:val="auto"/>
          <w:sz w:val="24"/>
        </w:rPr>
        <w:t>____</w:t>
      </w:r>
    </w:p>
    <w:p w14:paraId="6CC1EEC5">
      <w:pPr>
        <w:spacing w:line="360" w:lineRule="auto"/>
        <w:jc w:val="left"/>
      </w:pPr>
      <w:r>
        <w:rPr>
          <w:rFonts w:ascii="宋体" w:hAnsi="宋体" w:eastAsia="宋体" w:cs="宋体"/>
          <w:b/>
          <w:color w:val="auto"/>
          <w:sz w:val="24"/>
        </w:rPr>
        <w:t>本试题卷分选择题和非选择题两部分，共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C9DC484">
      <w:pPr>
        <w:spacing w:line="360" w:lineRule="auto"/>
        <w:jc w:val="left"/>
      </w:pPr>
      <w:r>
        <w:rPr>
          <w:rFonts w:ascii="宋体" w:hAnsi="宋体" w:eastAsia="宋体" w:cs="宋体"/>
          <w:b/>
          <w:color w:val="auto"/>
          <w:sz w:val="24"/>
        </w:rPr>
        <w:t>考生注意：</w:t>
      </w:r>
    </w:p>
    <w:p w14:paraId="602CF35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．答题前，请务必将直接的姓名、准考证号用黑色字迹的签字笔或钢笔分别填写在试题卷河答题纸规定的位置上。</w:t>
      </w:r>
    </w:p>
    <w:p w14:paraId="4BBB8F1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14:paraId="4515EDAE">
      <w:pPr>
        <w:spacing w:line="360" w:lineRule="auto"/>
        <w:jc w:val="center"/>
      </w:pPr>
      <w:r>
        <w:rPr>
          <w:rFonts w:ascii="宋体" w:hAnsi="宋体" w:eastAsia="宋体" w:cs="宋体"/>
          <w:b/>
          <w:color w:val="auto"/>
          <w:sz w:val="24"/>
        </w:rPr>
        <w:t>选择题部分</w:t>
      </w:r>
    </w:p>
    <w:p w14:paraId="3A605BE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分。每小题列出的四个备选项中只有一个是符合题目要求的，不选、多选、错选均不得分）</w:t>
      </w:r>
    </w:p>
    <w:p w14:paraId="4B0E897B">
      <w:pPr>
        <w:spacing w:line="360" w:lineRule="auto"/>
        <w:ind w:firstLine="420"/>
        <w:jc w:val="left"/>
      </w:pPr>
      <w:r>
        <w:rPr>
          <w:rFonts w:ascii="楷体" w:hAnsi="楷体" w:eastAsia="楷体" w:cs="楷体"/>
          <w:color w:val="auto"/>
        </w:rPr>
        <w:t>碳中和背景下，发展海上风电成为全球共识。各国政府对海上风电产业，往往通过政策激励和引领，不断提高其经济性，实现快速发展。</w:t>
      </w:r>
      <w:r>
        <w:rPr>
          <w:rFonts w:ascii="Times New Roman" w:hAnsi="Times New Roman" w:eastAsia="Times New Roman" w:cs="Times New Roman"/>
          <w:color w:val="auto"/>
        </w:rPr>
        <w:t>2021</w:t>
      </w:r>
      <w:r>
        <w:rPr>
          <w:rFonts w:ascii="楷体" w:hAnsi="楷体" w:eastAsia="楷体" w:cs="楷体"/>
          <w:color w:val="auto"/>
        </w:rPr>
        <w:t>年我国海上风电新增装机容量位居世界第一。完成下面小题。</w:t>
      </w:r>
    </w:p>
    <w:p w14:paraId="1C545B19">
      <w:pPr>
        <w:spacing w:line="360" w:lineRule="auto"/>
        <w:jc w:val="left"/>
        <w:textAlignment w:val="center"/>
        <w:rPr>
          <w:color w:val="auto"/>
        </w:rPr>
      </w:pPr>
      <w:r>
        <w:t xml:space="preserve">1. </w:t>
      </w:r>
      <w:r>
        <w:rPr>
          <w:rFonts w:ascii="宋体" w:hAnsi="宋体" w:eastAsia="宋体" w:cs="宋体"/>
          <w:color w:val="auto"/>
        </w:rPr>
        <w:t>近年来，我国海上风电装机容量快速增长的主要原因是（</w:t>
      </w:r>
      <w:r>
        <w:rPr>
          <w:rFonts w:ascii="Times New Roman" w:hAnsi="Times New Roman" w:eastAsia="Times New Roman" w:cs="Times New Roman"/>
          <w:color w:val="auto"/>
        </w:rPr>
        <w:t xml:space="preserve">   </w:t>
      </w:r>
      <w:r>
        <w:rPr>
          <w:rFonts w:ascii="宋体" w:hAnsi="宋体" w:eastAsia="宋体" w:cs="宋体"/>
          <w:color w:val="auto"/>
        </w:rPr>
        <w:t>）</w:t>
      </w:r>
    </w:p>
    <w:p w14:paraId="013D3EE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风能清洁</w:t>
      </w:r>
      <w:r>
        <w:tab/>
      </w:r>
      <w:r>
        <w:t xml:space="preserve">B. </w:t>
      </w:r>
      <w:r>
        <w:rPr>
          <w:rFonts w:ascii="宋体" w:hAnsi="宋体" w:eastAsia="宋体" w:cs="宋体"/>
          <w:color w:val="auto"/>
        </w:rPr>
        <w:t>国家政策支持</w:t>
      </w:r>
      <w:r>
        <w:tab/>
      </w:r>
      <w:r>
        <w:t xml:space="preserve">C. </w:t>
      </w:r>
      <w:r>
        <w:rPr>
          <w:rFonts w:ascii="宋体" w:hAnsi="宋体" w:eastAsia="宋体" w:cs="宋体"/>
          <w:color w:val="auto"/>
        </w:rPr>
        <w:t>风能可再生</w:t>
      </w:r>
      <w:r>
        <w:tab/>
      </w:r>
      <w:r>
        <w:t xml:space="preserve">D. </w:t>
      </w:r>
      <w:r>
        <w:rPr>
          <w:rFonts w:ascii="宋体" w:hAnsi="宋体" w:eastAsia="宋体" w:cs="宋体"/>
          <w:color w:val="auto"/>
        </w:rPr>
        <w:t>市场需求增加</w:t>
      </w:r>
    </w:p>
    <w:p w14:paraId="70ABA539">
      <w:pPr>
        <w:spacing w:line="360" w:lineRule="auto"/>
        <w:jc w:val="left"/>
        <w:textAlignment w:val="center"/>
        <w:rPr>
          <w:color w:val="auto"/>
        </w:rPr>
      </w:pPr>
      <w:r>
        <w:t xml:space="preserve">2. </w:t>
      </w:r>
      <w:r>
        <w:rPr>
          <w:rFonts w:ascii="宋体" w:hAnsi="宋体" w:eastAsia="宋体" w:cs="宋体"/>
          <w:color w:val="auto"/>
        </w:rPr>
        <w:t>海上风电在我国总发电量中占比低，是因为（</w:t>
      </w:r>
      <w:r>
        <w:rPr>
          <w:rFonts w:ascii="Times New Roman" w:hAnsi="Times New Roman" w:eastAsia="Times New Roman" w:cs="Times New Roman"/>
          <w:color w:val="auto"/>
        </w:rPr>
        <w:t xml:space="preserve">   </w:t>
      </w:r>
      <w:r>
        <w:rPr>
          <w:rFonts w:ascii="宋体" w:hAnsi="宋体" w:eastAsia="宋体" w:cs="宋体"/>
          <w:color w:val="auto"/>
        </w:rPr>
        <w:t>）</w:t>
      </w:r>
    </w:p>
    <w:p w14:paraId="4795515D">
      <w:pPr>
        <w:spacing w:line="360" w:lineRule="auto"/>
        <w:jc w:val="left"/>
      </w:pPr>
      <w:r>
        <w:rPr>
          <w:rFonts w:ascii="宋体" w:hAnsi="宋体" w:eastAsia="宋体" w:cs="宋体"/>
          <w:color w:val="auto"/>
        </w:rPr>
        <w:t>①产业发展起步晚②海上可利用空间小③能源消费总量大④海上风能资源匮乏</w:t>
      </w:r>
    </w:p>
    <w:p w14:paraId="31D0322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②④</w:t>
      </w:r>
    </w:p>
    <w:p w14:paraId="59DD17F9">
      <w:pPr>
        <w:spacing w:line="360" w:lineRule="auto"/>
        <w:ind w:firstLine="420"/>
        <w:jc w:val="left"/>
        <w:textAlignment w:val="center"/>
        <w:rPr>
          <w:color w:val="000000"/>
        </w:rPr>
      </w:pPr>
      <w:r>
        <w:rPr>
          <w:rFonts w:ascii="楷体" w:hAnsi="楷体" w:eastAsia="楷体" w:cs="楷体"/>
          <w:color w:val="000000"/>
        </w:rPr>
        <w:t>下图为某地地质剖面图，图中出露岩层经历了晚古生代的泥盆纪、石炭纪、二叠纪和中生代的三叠纪、侏罗纪、白垩纪等地质时期的变迁。完成下面小题。</w:t>
      </w:r>
    </w:p>
    <w:p w14:paraId="5ABEBBDA">
      <w:pPr>
        <w:spacing w:line="360" w:lineRule="auto"/>
        <w:jc w:val="left"/>
        <w:textAlignment w:val="center"/>
        <w:rPr>
          <w:color w:val="000000"/>
        </w:rPr>
      </w:pPr>
      <w:r>
        <w:rPr>
          <w:color w:val="000000"/>
        </w:rPr>
        <w:drawing>
          <wp:inline distT="0" distB="0" distL="114300" distR="114300">
            <wp:extent cx="2609850" cy="2781300"/>
            <wp:effectExtent l="0" t="0" r="0" b="0"/>
            <wp:docPr id="100003" name="图片 100003"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yF6xsjZ0Xzzp2W+Da2wOPw=="/>
                    <pic:cNvPicPr>
                      <a:picLocks noChangeAspect="1"/>
                    </pic:cNvPicPr>
                  </pic:nvPicPr>
                  <pic:blipFill>
                    <a:blip r:embed="rId11"/>
                    <a:stretch>
                      <a:fillRect/>
                    </a:stretch>
                  </pic:blipFill>
                  <pic:spPr>
                    <a:xfrm>
                      <a:off x="0" y="0"/>
                      <a:ext cx="2609850" cy="2781300"/>
                    </a:xfrm>
                    <a:prstGeom prst="rect">
                      <a:avLst/>
                    </a:prstGeom>
                  </pic:spPr>
                </pic:pic>
              </a:graphicData>
            </a:graphic>
          </wp:inline>
        </w:drawing>
      </w:r>
    </w:p>
    <w:p w14:paraId="4843CAB8">
      <w:pPr>
        <w:spacing w:line="360" w:lineRule="auto"/>
        <w:jc w:val="left"/>
        <w:textAlignment w:val="center"/>
        <w:rPr>
          <w:color w:val="000000"/>
        </w:rPr>
      </w:pPr>
      <w:r>
        <w:rPr>
          <w:color w:val="000000"/>
        </w:rPr>
        <w:t xml:space="preserve">3. </w:t>
      </w:r>
      <w:r>
        <w:rPr>
          <w:rFonts w:ascii="宋体" w:hAnsi="宋体" w:eastAsia="宋体" w:cs="宋体"/>
          <w:color w:val="000000"/>
        </w:rPr>
        <w:t>图示石灰岩形成时期（</w:t>
      </w:r>
      <w:r>
        <w:rPr>
          <w:rFonts w:ascii="Times New Roman" w:hAnsi="Times New Roman" w:eastAsia="Times New Roman" w:cs="Times New Roman"/>
          <w:color w:val="000000"/>
        </w:rPr>
        <w:t xml:space="preserve">   </w:t>
      </w:r>
      <w:r>
        <w:rPr>
          <w:rFonts w:ascii="宋体" w:hAnsi="宋体" w:eastAsia="宋体" w:cs="宋体"/>
          <w:color w:val="000000"/>
        </w:rPr>
        <w:t>）</w:t>
      </w:r>
    </w:p>
    <w:p w14:paraId="452E23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爬行动物盛行</w:t>
      </w:r>
      <w:r>
        <w:rPr>
          <w:color w:val="000000"/>
        </w:rPr>
        <w:tab/>
      </w:r>
      <w:r>
        <w:rPr>
          <w:color w:val="000000"/>
        </w:rPr>
        <w:t xml:space="preserve">B. </w:t>
      </w:r>
      <w:r>
        <w:rPr>
          <w:rFonts w:ascii="宋体" w:hAnsi="宋体" w:eastAsia="宋体" w:cs="宋体"/>
          <w:color w:val="000000"/>
        </w:rPr>
        <w:t>被子植物兴盛</w:t>
      </w:r>
      <w:r>
        <w:rPr>
          <w:color w:val="000000"/>
        </w:rPr>
        <w:tab/>
      </w:r>
      <w:r>
        <w:rPr>
          <w:color w:val="000000"/>
        </w:rPr>
        <w:t xml:space="preserve">C. </w:t>
      </w:r>
      <w:r>
        <w:rPr>
          <w:rFonts w:ascii="宋体" w:hAnsi="宋体" w:eastAsia="宋体" w:cs="宋体"/>
          <w:color w:val="000000"/>
        </w:rPr>
        <w:t>蕨类植物繁盛</w:t>
      </w:r>
      <w:r>
        <w:rPr>
          <w:color w:val="000000"/>
        </w:rPr>
        <w:tab/>
      </w:r>
      <w:r>
        <w:rPr>
          <w:color w:val="000000"/>
        </w:rPr>
        <w:t xml:space="preserve">D. </w:t>
      </w:r>
      <w:r>
        <w:rPr>
          <w:rFonts w:ascii="宋体" w:hAnsi="宋体" w:eastAsia="宋体" w:cs="宋体"/>
          <w:color w:val="000000"/>
        </w:rPr>
        <w:t>三叶虫开始出现</w:t>
      </w:r>
    </w:p>
    <w:p w14:paraId="6A58E186">
      <w:pPr>
        <w:spacing w:line="360" w:lineRule="auto"/>
        <w:jc w:val="left"/>
        <w:textAlignment w:val="center"/>
        <w:rPr>
          <w:color w:val="000000"/>
        </w:rPr>
      </w:pPr>
      <w:r>
        <w:rPr>
          <w:color w:val="000000"/>
        </w:rPr>
        <w:t xml:space="preserve">4. </w:t>
      </w:r>
      <w:r>
        <w:rPr>
          <w:rFonts w:ascii="宋体" w:hAnsi="宋体" w:eastAsia="宋体" w:cs="宋体"/>
          <w:color w:val="000000"/>
        </w:rPr>
        <w:t>图中未知岩层可能是（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3AD3AE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泥盆纪砂砾岩</w:t>
      </w:r>
      <w:r>
        <w:rPr>
          <w:color w:val="000000"/>
        </w:rPr>
        <w:tab/>
      </w:r>
      <w:r>
        <w:rPr>
          <w:color w:val="000000"/>
        </w:rPr>
        <w:t xml:space="preserve">B. </w:t>
      </w:r>
      <w:r>
        <w:rPr>
          <w:rFonts w:ascii="宋体" w:hAnsi="宋体" w:eastAsia="宋体" w:cs="宋体"/>
          <w:color w:val="000000"/>
        </w:rPr>
        <w:t>石炭纪粉砂岩</w:t>
      </w:r>
      <w:r>
        <w:rPr>
          <w:color w:val="000000"/>
        </w:rPr>
        <w:tab/>
      </w:r>
      <w:r>
        <w:rPr>
          <w:color w:val="000000"/>
        </w:rPr>
        <w:t xml:space="preserve">C. </w:t>
      </w:r>
      <w:r>
        <w:rPr>
          <w:rFonts w:ascii="宋体" w:hAnsi="宋体" w:eastAsia="宋体" w:cs="宋体"/>
          <w:color w:val="000000"/>
        </w:rPr>
        <w:t>二叠纪砂页岩</w:t>
      </w:r>
      <w:r>
        <w:rPr>
          <w:color w:val="000000"/>
        </w:rPr>
        <w:tab/>
      </w:r>
      <w:r>
        <w:rPr>
          <w:color w:val="000000"/>
        </w:rPr>
        <w:t xml:space="preserve">D. </w:t>
      </w:r>
      <w:r>
        <w:rPr>
          <w:rFonts w:ascii="宋体" w:hAnsi="宋体" w:eastAsia="宋体" w:cs="宋体"/>
          <w:color w:val="000000"/>
        </w:rPr>
        <w:t>侏罗纪花岗岩</w:t>
      </w:r>
    </w:p>
    <w:p w14:paraId="46097154">
      <w:pPr>
        <w:spacing w:line="360" w:lineRule="auto"/>
        <w:ind w:firstLine="420"/>
        <w:jc w:val="left"/>
        <w:textAlignment w:val="center"/>
        <w:rPr>
          <w:color w:val="000000"/>
        </w:rPr>
      </w:pPr>
      <w:r>
        <w:rPr>
          <w:rFonts w:ascii="楷体" w:hAnsi="楷体" w:eastAsia="楷体" w:cs="楷体"/>
          <w:color w:val="000000"/>
        </w:rPr>
        <w:t>马铃薯具有耐旱、耐寒和耐瘠的习性。将马铃薯列为主粮有利于保障我国粮食安全。下表为</w:t>
      </w:r>
      <w:r>
        <w:rPr>
          <w:rFonts w:ascii="Times New Roman" w:hAnsi="Times New Roman" w:eastAsia="Times New Roman" w:cs="Times New Roman"/>
          <w:color w:val="000000"/>
        </w:rPr>
        <w:t>2021</w:t>
      </w:r>
      <w:r>
        <w:rPr>
          <w:rFonts w:ascii="楷体" w:hAnsi="楷体" w:eastAsia="楷体" w:cs="楷体"/>
          <w:color w:val="000000"/>
        </w:rPr>
        <w:t>年世界部分国家马铃薯单产比较表。完成下面小题。</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5"/>
        <w:gridCol w:w="930"/>
        <w:gridCol w:w="930"/>
        <w:gridCol w:w="705"/>
        <w:gridCol w:w="930"/>
        <w:gridCol w:w="705"/>
        <w:gridCol w:w="705"/>
        <w:gridCol w:w="1170"/>
      </w:tblGrid>
      <w:tr w14:paraId="5217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E438F2">
            <w:pPr>
              <w:spacing w:line="360" w:lineRule="auto"/>
              <w:jc w:val="left"/>
              <w:textAlignment w:val="center"/>
              <w:rPr>
                <w:color w:val="000000"/>
              </w:rPr>
            </w:pPr>
            <w:r>
              <w:rPr>
                <w:rFonts w:ascii="楷体" w:hAnsi="楷体" w:eastAsia="楷体" w:cs="楷体"/>
                <w:color w:val="000000"/>
              </w:rPr>
              <w:t>国家</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F00B81">
            <w:pPr>
              <w:spacing w:line="360" w:lineRule="auto"/>
              <w:jc w:val="left"/>
              <w:textAlignment w:val="center"/>
              <w:rPr>
                <w:color w:val="000000"/>
              </w:rPr>
            </w:pPr>
            <w:r>
              <w:rPr>
                <w:rFonts w:ascii="楷体" w:hAnsi="楷体" w:eastAsia="楷体" w:cs="楷体"/>
                <w:color w:val="000000"/>
              </w:rPr>
              <w:t>科威特</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17705">
            <w:pPr>
              <w:spacing w:line="360" w:lineRule="auto"/>
              <w:jc w:val="left"/>
              <w:textAlignment w:val="center"/>
              <w:rPr>
                <w:color w:val="000000"/>
              </w:rPr>
            </w:pPr>
            <w:r>
              <w:rPr>
                <w:rFonts w:ascii="楷体" w:hAnsi="楷体" w:eastAsia="楷体" w:cs="楷体"/>
                <w:color w:val="000000"/>
              </w:rPr>
              <w:t>新西兰</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7B10C">
            <w:pPr>
              <w:spacing w:line="360" w:lineRule="auto"/>
              <w:jc w:val="left"/>
              <w:textAlignment w:val="center"/>
              <w:rPr>
                <w:color w:val="000000"/>
              </w:rPr>
            </w:pPr>
            <w:r>
              <w:rPr>
                <w:rFonts w:ascii="楷体" w:hAnsi="楷体" w:eastAsia="楷体" w:cs="楷体"/>
                <w:color w:val="000000"/>
              </w:rPr>
              <w:t>美国</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4D32D">
            <w:pPr>
              <w:spacing w:line="360" w:lineRule="auto"/>
              <w:jc w:val="left"/>
              <w:textAlignment w:val="center"/>
              <w:rPr>
                <w:color w:val="000000"/>
              </w:rPr>
            </w:pPr>
            <w:r>
              <w:rPr>
                <w:rFonts w:ascii="楷体" w:hAnsi="楷体" w:eastAsia="楷体" w:cs="楷体"/>
                <w:color w:val="000000"/>
              </w:rPr>
              <w:t>爱尔兰</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2D6D43">
            <w:pPr>
              <w:spacing w:line="360" w:lineRule="auto"/>
              <w:jc w:val="left"/>
              <w:textAlignment w:val="center"/>
              <w:rPr>
                <w:color w:val="000000"/>
              </w:rPr>
            </w:pPr>
            <w:r>
              <w:rPr>
                <w:rFonts w:ascii="楷体" w:hAnsi="楷体" w:eastAsia="楷体" w:cs="楷体"/>
                <w:color w:val="000000"/>
              </w:rPr>
              <w:t>德国</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562B9">
            <w:pPr>
              <w:spacing w:line="360" w:lineRule="auto"/>
              <w:jc w:val="left"/>
              <w:textAlignment w:val="center"/>
              <w:rPr>
                <w:color w:val="000000"/>
              </w:rPr>
            </w:pPr>
            <w:r>
              <w:rPr>
                <w:rFonts w:ascii="楷体" w:hAnsi="楷体" w:eastAsia="楷体" w:cs="楷体"/>
                <w:color w:val="000000"/>
              </w:rPr>
              <w:t>中国</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3D651">
            <w:pPr>
              <w:spacing w:line="360" w:lineRule="auto"/>
              <w:jc w:val="left"/>
              <w:textAlignment w:val="center"/>
              <w:rPr>
                <w:color w:val="000000"/>
              </w:rPr>
            </w:pPr>
            <w:r>
              <w:rPr>
                <w:rFonts w:ascii="楷体" w:hAnsi="楷体" w:eastAsia="楷体" w:cs="楷体"/>
                <w:color w:val="000000"/>
              </w:rPr>
              <w:t>世界平均</w:t>
            </w:r>
          </w:p>
        </w:tc>
      </w:tr>
      <w:tr w14:paraId="312E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70E08">
            <w:pPr>
              <w:spacing w:line="360" w:lineRule="auto"/>
              <w:jc w:val="left"/>
              <w:textAlignment w:val="center"/>
              <w:rPr>
                <w:color w:val="000000"/>
              </w:rPr>
            </w:pPr>
            <w:r>
              <w:rPr>
                <w:rFonts w:ascii="楷体" w:hAnsi="楷体" w:eastAsia="楷体" w:cs="楷体"/>
                <w:color w:val="000000"/>
              </w:rPr>
              <w:t>单产（吨</w:t>
            </w:r>
            <w:r>
              <w:rPr>
                <w:rFonts w:ascii="Times New Roman" w:hAnsi="Times New Roman" w:eastAsia="Times New Roman" w:cs="Times New Roman"/>
                <w:color w:val="000000"/>
              </w:rPr>
              <w:t>/</w:t>
            </w:r>
            <w:r>
              <w:rPr>
                <w:rFonts w:ascii="楷体" w:hAnsi="楷体" w:eastAsia="楷体" w:cs="楷体"/>
                <w:color w:val="000000"/>
              </w:rPr>
              <w:t>公顷）</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8F071">
            <w:pPr>
              <w:spacing w:line="360" w:lineRule="auto"/>
              <w:jc w:val="left"/>
              <w:textAlignment w:val="center"/>
              <w:rPr>
                <w:color w:val="000000"/>
              </w:rPr>
            </w:pPr>
            <w:r>
              <w:rPr>
                <w:rFonts w:ascii="Times New Roman" w:hAnsi="Times New Roman" w:eastAsia="Times New Roman" w:cs="Times New Roman"/>
                <w:color w:val="000000"/>
              </w:rPr>
              <w:t>51.9</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5D182">
            <w:pPr>
              <w:spacing w:line="360" w:lineRule="auto"/>
              <w:jc w:val="left"/>
              <w:textAlignment w:val="center"/>
              <w:rPr>
                <w:color w:val="000000"/>
              </w:rPr>
            </w:pPr>
            <w:r>
              <w:rPr>
                <w:rFonts w:ascii="Times New Roman" w:hAnsi="Times New Roman" w:eastAsia="Times New Roman" w:cs="Times New Roman"/>
                <w:color w:val="000000"/>
              </w:rPr>
              <w:t>50</w:t>
            </w:r>
            <w:r>
              <w:rPr>
                <w:rFonts w:ascii="Times New Roman" w:hAnsi="Times New Roman" w:eastAsia="Times New Roman" w:cs="Times New Roman"/>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FB9D6">
            <w:pPr>
              <w:spacing w:line="360" w:lineRule="auto"/>
              <w:jc w:val="left"/>
              <w:textAlignment w:val="center"/>
              <w:rPr>
                <w:color w:val="000000"/>
              </w:rPr>
            </w:pPr>
            <w:r>
              <w:rPr>
                <w:rFonts w:ascii="Times New Roman" w:hAnsi="Times New Roman" w:eastAsia="Times New Roman" w:cs="Times New Roman"/>
                <w:color w:val="000000"/>
              </w:rPr>
              <w:t>49.1</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B2C3F">
            <w:pPr>
              <w:spacing w:line="360" w:lineRule="auto"/>
              <w:jc w:val="left"/>
              <w:textAlignment w:val="center"/>
              <w:rPr>
                <w:color w:val="000000"/>
              </w:rPr>
            </w:pPr>
            <w:r>
              <w:rPr>
                <w:rFonts w:ascii="Times New Roman" w:hAnsi="Times New Roman" w:eastAsia="Times New Roman" w:cs="Times New Roman"/>
                <w:color w:val="000000"/>
              </w:rPr>
              <w:t>45.6</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55B2C">
            <w:pPr>
              <w:spacing w:line="360" w:lineRule="auto"/>
              <w:jc w:val="left"/>
              <w:textAlignment w:val="center"/>
              <w:rPr>
                <w:color w:val="000000"/>
              </w:rPr>
            </w:pPr>
            <w:r>
              <w:rPr>
                <w:rFonts w:ascii="Times New Roman" w:hAnsi="Times New Roman" w:eastAsia="Times New Roman" w:cs="Times New Roman"/>
                <w:color w:val="000000"/>
              </w:rPr>
              <w:t>43.8</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3AD24">
            <w:pPr>
              <w:spacing w:line="360" w:lineRule="auto"/>
              <w:jc w:val="left"/>
              <w:textAlignment w:val="center"/>
              <w:rPr>
                <w:color w:val="000000"/>
              </w:rPr>
            </w:pPr>
            <w:r>
              <w:rPr>
                <w:rFonts w:ascii="Times New Roman" w:hAnsi="Times New Roman" w:eastAsia="Times New Roman" w:cs="Times New Roman"/>
                <w:color w:val="000000"/>
              </w:rPr>
              <w:t>16.3</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659938">
            <w:pPr>
              <w:spacing w:line="360" w:lineRule="auto"/>
              <w:jc w:val="left"/>
              <w:textAlignment w:val="center"/>
              <w:rPr>
                <w:color w:val="000000"/>
              </w:rPr>
            </w:pPr>
            <w:r>
              <w:rPr>
                <w:rFonts w:ascii="Times New Roman" w:hAnsi="Times New Roman" w:eastAsia="Times New Roman" w:cs="Times New Roman"/>
                <w:color w:val="000000"/>
              </w:rPr>
              <w:t>20.7</w:t>
            </w:r>
          </w:p>
        </w:tc>
      </w:tr>
    </w:tbl>
    <w:p w14:paraId="2A8DD0DD">
      <w:pPr>
        <w:spacing w:line="360" w:lineRule="auto"/>
        <w:jc w:val="left"/>
        <w:textAlignment w:val="center"/>
        <w:rPr>
          <w:color w:val="000000"/>
        </w:rPr>
      </w:pPr>
    </w:p>
    <w:p w14:paraId="5A19A157">
      <w:pPr>
        <w:spacing w:line="360" w:lineRule="auto"/>
        <w:jc w:val="left"/>
        <w:textAlignment w:val="center"/>
        <w:rPr>
          <w:color w:val="000000"/>
        </w:rPr>
      </w:pPr>
      <w:r>
        <w:rPr>
          <w:color w:val="000000"/>
        </w:rPr>
        <w:t xml:space="preserve">5. </w:t>
      </w:r>
      <w:r>
        <w:rPr>
          <w:rFonts w:ascii="宋体" w:hAnsi="宋体" w:eastAsia="宋体" w:cs="宋体"/>
          <w:color w:val="000000"/>
        </w:rPr>
        <w:t>为提高我国马铃薯单产，下列因素中贡献最大的是（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6168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科学技术</w:t>
      </w:r>
      <w:r>
        <w:rPr>
          <w:color w:val="000000"/>
        </w:rPr>
        <w:tab/>
      </w:r>
      <w:r>
        <w:rPr>
          <w:color w:val="000000"/>
        </w:rPr>
        <w:t xml:space="preserve">B. </w:t>
      </w:r>
      <w:r>
        <w:rPr>
          <w:rFonts w:ascii="宋体" w:hAnsi="宋体" w:eastAsia="宋体" w:cs="宋体"/>
          <w:color w:val="000000"/>
        </w:rPr>
        <w:t>播种面积</w:t>
      </w:r>
      <w:r>
        <w:rPr>
          <w:color w:val="000000"/>
        </w:rPr>
        <w:tab/>
      </w:r>
      <w:r>
        <w:rPr>
          <w:color w:val="000000"/>
        </w:rPr>
        <w:t xml:space="preserve">C. </w:t>
      </w:r>
      <w:r>
        <w:rPr>
          <w:rFonts w:ascii="宋体" w:hAnsi="宋体" w:eastAsia="宋体" w:cs="宋体"/>
          <w:color w:val="000000"/>
        </w:rPr>
        <w:t>劳动力数量</w:t>
      </w:r>
      <w:r>
        <w:rPr>
          <w:color w:val="000000"/>
        </w:rPr>
        <w:tab/>
      </w:r>
      <w:r>
        <w:rPr>
          <w:color w:val="000000"/>
        </w:rPr>
        <w:t xml:space="preserve">D. </w:t>
      </w:r>
      <w:r>
        <w:rPr>
          <w:rFonts w:ascii="宋体" w:hAnsi="宋体" w:eastAsia="宋体" w:cs="宋体"/>
          <w:color w:val="000000"/>
        </w:rPr>
        <w:t>复种指数</w:t>
      </w:r>
    </w:p>
    <w:p w14:paraId="1CC28ABB">
      <w:pPr>
        <w:spacing w:line="360" w:lineRule="auto"/>
        <w:jc w:val="left"/>
        <w:textAlignment w:val="center"/>
        <w:rPr>
          <w:color w:val="000000"/>
        </w:rPr>
      </w:pPr>
      <w:r>
        <w:rPr>
          <w:color w:val="000000"/>
        </w:rPr>
        <w:t xml:space="preserve">6. </w:t>
      </w:r>
      <w:r>
        <w:rPr>
          <w:rFonts w:ascii="宋体" w:hAnsi="宋体" w:eastAsia="宋体" w:cs="宋体"/>
          <w:color w:val="000000"/>
        </w:rPr>
        <w:t>未来马铃薯在保障我国粮食安全方面可以发挥重要作用，原因是（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839CAC0">
      <w:pPr>
        <w:spacing w:line="360" w:lineRule="auto"/>
        <w:jc w:val="left"/>
        <w:textAlignment w:val="center"/>
        <w:rPr>
          <w:color w:val="000000"/>
        </w:rPr>
      </w:pPr>
      <w:r>
        <w:rPr>
          <w:rFonts w:ascii="宋体" w:hAnsi="宋体" w:eastAsia="宋体" w:cs="宋体"/>
          <w:color w:val="000000"/>
        </w:rPr>
        <w:t>①易保鲜储存②增产潜力大③环境适应能力强④符合大众饮食习惯</w:t>
      </w:r>
    </w:p>
    <w:p w14:paraId="793FAB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0DDA1DE">
      <w:pPr>
        <w:spacing w:line="360" w:lineRule="auto"/>
        <w:ind w:firstLine="420"/>
        <w:jc w:val="left"/>
        <w:textAlignment w:val="center"/>
        <w:rPr>
          <w:color w:val="000000"/>
        </w:rPr>
      </w:pPr>
      <w:r>
        <w:rPr>
          <w:rFonts w:ascii="楷体" w:hAnsi="楷体" w:eastAsia="楷体" w:cs="楷体"/>
          <w:color w:val="000000"/>
        </w:rPr>
        <w:t>岩溶作用化学方程式为</w:t>
      </w:r>
      <w:r>
        <w:rPr>
          <w:rFonts w:ascii="Times New Roman" w:hAnsi="Times New Roman" w:eastAsia="Times New Roman" w:cs="Times New Roman"/>
          <w:color w:val="000000"/>
        </w:rPr>
        <w:t>CaCO</w:t>
      </w:r>
      <w:r>
        <w:rPr>
          <w:color w:val="000000"/>
        </w:rPr>
        <w:t>₃</w:t>
      </w:r>
      <w:r>
        <w:rPr>
          <w:rFonts w:ascii="Times New Roman" w:hAnsi="Times New Roman" w:eastAsia="Times New Roman" w:cs="Times New Roman"/>
          <w:color w:val="000000"/>
        </w:rPr>
        <w:t>+CO</w:t>
      </w:r>
      <w:r>
        <w:rPr>
          <w:color w:val="000000"/>
        </w:rPr>
        <w:t>₂</w:t>
      </w:r>
      <w:r>
        <w:rPr>
          <w:rFonts w:ascii="Times New Roman" w:hAnsi="Times New Roman" w:eastAsia="Times New Roman" w:cs="Times New Roman"/>
          <w:color w:val="000000"/>
        </w:rPr>
        <w:t>+H</w:t>
      </w:r>
      <w:r>
        <w:rPr>
          <w:color w:val="000000"/>
        </w:rPr>
        <w:t>₂</w:t>
      </w:r>
      <w:r>
        <w:rPr>
          <w:rFonts w:ascii="Times New Roman" w:hAnsi="Times New Roman" w:eastAsia="Times New Roman" w:cs="Times New Roman"/>
          <w:color w:val="000000"/>
        </w:rPr>
        <w:t>O=Ca</w:t>
      </w:r>
      <w:r>
        <w:rPr>
          <w:rFonts w:ascii="楷体" w:hAnsi="楷体" w:eastAsia="楷体" w:cs="楷体"/>
          <w:color w:val="000000"/>
        </w:rPr>
        <w:t>（</w:t>
      </w:r>
      <w:r>
        <w:rPr>
          <w:rFonts w:ascii="Times New Roman" w:hAnsi="Times New Roman" w:eastAsia="Times New Roman" w:cs="Times New Roman"/>
          <w:color w:val="000000"/>
        </w:rPr>
        <w:t>HCO</w:t>
      </w:r>
      <w:r>
        <w:rPr>
          <w:color w:val="000000"/>
        </w:rPr>
        <w:t>₃</w:t>
      </w:r>
      <w:r>
        <w:rPr>
          <w:rFonts w:ascii="楷体" w:hAnsi="楷体" w:eastAsia="楷体" w:cs="楷体"/>
          <w:color w:val="000000"/>
        </w:rPr>
        <w:t>）</w:t>
      </w:r>
      <w:r>
        <w:rPr>
          <w:color w:val="000000"/>
        </w:rPr>
        <w:t>₂</w:t>
      </w:r>
      <w:r>
        <w:rPr>
          <w:rFonts w:ascii="楷体" w:hAnsi="楷体" w:eastAsia="楷体" w:cs="楷体"/>
          <w:color w:val="000000"/>
        </w:rPr>
        <w:t>。下图为某地喀斯特地貌景观照片。完成下面小题。</w:t>
      </w:r>
    </w:p>
    <w:p w14:paraId="11189C37">
      <w:pPr>
        <w:spacing w:line="360" w:lineRule="auto"/>
        <w:jc w:val="left"/>
        <w:textAlignment w:val="center"/>
        <w:rPr>
          <w:color w:val="000000"/>
        </w:rPr>
      </w:pPr>
      <w:r>
        <w:rPr>
          <w:color w:val="000000"/>
        </w:rPr>
        <w:drawing>
          <wp:inline distT="0" distB="0" distL="114300" distR="114300">
            <wp:extent cx="2590800" cy="1781175"/>
            <wp:effectExtent l="0" t="0" r="0" b="9525"/>
            <wp:docPr id="100005" name="图片 100005"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yF6xsjZ0Xzzp2W+Da2wOPw=="/>
                    <pic:cNvPicPr>
                      <a:picLocks noChangeAspect="1"/>
                    </pic:cNvPicPr>
                  </pic:nvPicPr>
                  <pic:blipFill>
                    <a:blip r:embed="rId13"/>
                    <a:stretch>
                      <a:fillRect/>
                    </a:stretch>
                  </pic:blipFill>
                  <pic:spPr>
                    <a:xfrm>
                      <a:off x="0" y="0"/>
                      <a:ext cx="2590800" cy="1781175"/>
                    </a:xfrm>
                    <a:prstGeom prst="rect">
                      <a:avLst/>
                    </a:prstGeom>
                  </pic:spPr>
                </pic:pic>
              </a:graphicData>
            </a:graphic>
          </wp:inline>
        </w:drawing>
      </w:r>
    </w:p>
    <w:p w14:paraId="2A3FB52B">
      <w:pPr>
        <w:spacing w:line="360" w:lineRule="auto"/>
        <w:jc w:val="left"/>
        <w:textAlignment w:val="center"/>
        <w:rPr>
          <w:color w:val="000000"/>
        </w:rPr>
      </w:pPr>
      <w:r>
        <w:rPr>
          <w:color w:val="000000"/>
        </w:rPr>
        <w:t xml:space="preserve">7. </w:t>
      </w:r>
      <w:r>
        <w:rPr>
          <w:rFonts w:ascii="宋体" w:hAnsi="宋体" w:eastAsia="宋体" w:cs="宋体"/>
          <w:color w:val="000000"/>
        </w:rPr>
        <w:t>喀斯特洞穴形成过程主要是（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284D52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风化，释放</w:t>
      </w:r>
      <w:r>
        <w:rPr>
          <w:rFonts w:ascii="Times New Roman" w:hAnsi="Times New Roman" w:eastAsia="Times New Roman" w:cs="Times New Roman"/>
          <w:color w:val="000000"/>
        </w:rPr>
        <w:t>CO</w:t>
      </w:r>
      <w:r>
        <w:rPr>
          <w:color w:val="000000"/>
          <w:vertAlign w:val="subscript"/>
        </w:rPr>
        <w:t>2</w:t>
      </w:r>
      <w:r>
        <w:rPr>
          <w:color w:val="000000"/>
        </w:rPr>
        <w:tab/>
      </w:r>
      <w:r>
        <w:rPr>
          <w:color w:val="000000"/>
        </w:rPr>
        <w:t xml:space="preserve">B. </w:t>
      </w:r>
      <w:r>
        <w:rPr>
          <w:rFonts w:ascii="宋体" w:hAnsi="宋体" w:eastAsia="宋体" w:cs="宋体"/>
          <w:color w:val="000000"/>
        </w:rPr>
        <w:t>溶蚀，吸收</w:t>
      </w:r>
      <w:r>
        <w:rPr>
          <w:rFonts w:ascii="Times New Roman" w:hAnsi="Times New Roman" w:eastAsia="Times New Roman" w:cs="Times New Roman"/>
          <w:color w:val="000000"/>
        </w:rPr>
        <w:t>CO</w:t>
      </w:r>
      <w:r>
        <w:rPr>
          <w:color w:val="000000"/>
          <w:vertAlign w:val="subscript"/>
        </w:rPr>
        <w:t>2</w:t>
      </w:r>
    </w:p>
    <w:p w14:paraId="15B8FA4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搬运，释放</w:t>
      </w:r>
      <w:r>
        <w:rPr>
          <w:rFonts w:ascii="Times New Roman" w:hAnsi="Times New Roman" w:eastAsia="Times New Roman" w:cs="Times New Roman"/>
          <w:color w:val="000000"/>
        </w:rPr>
        <w:t>CO</w:t>
      </w:r>
      <w:r>
        <w:rPr>
          <w:color w:val="000000"/>
          <w:vertAlign w:val="subscript"/>
        </w:rPr>
        <w:t>2</w:t>
      </w:r>
      <w:r>
        <w:rPr>
          <w:color w:val="000000"/>
        </w:rPr>
        <w:tab/>
      </w:r>
      <w:r>
        <w:rPr>
          <w:color w:val="000000"/>
        </w:rPr>
        <w:t xml:space="preserve">D. </w:t>
      </w:r>
      <w:r>
        <w:rPr>
          <w:rFonts w:ascii="宋体" w:hAnsi="宋体" w:eastAsia="宋体" w:cs="宋体"/>
          <w:color w:val="000000"/>
        </w:rPr>
        <w:t>沉积，吸收</w:t>
      </w:r>
      <w:r>
        <w:rPr>
          <w:rFonts w:ascii="Times New Roman" w:hAnsi="Times New Roman" w:eastAsia="Times New Roman" w:cs="Times New Roman"/>
          <w:color w:val="000000"/>
        </w:rPr>
        <w:t>CO</w:t>
      </w:r>
      <w:r>
        <w:rPr>
          <w:color w:val="000000"/>
          <w:vertAlign w:val="subscript"/>
        </w:rPr>
        <w:t>2</w:t>
      </w:r>
    </w:p>
    <w:p w14:paraId="69A0733E">
      <w:pPr>
        <w:spacing w:line="360" w:lineRule="auto"/>
        <w:jc w:val="left"/>
        <w:textAlignment w:val="center"/>
        <w:rPr>
          <w:color w:val="000000"/>
        </w:rPr>
      </w:pPr>
      <w:r>
        <w:rPr>
          <w:color w:val="000000"/>
        </w:rPr>
        <w:t xml:space="preserve">8. </w:t>
      </w:r>
      <w:r>
        <w:rPr>
          <w:rFonts w:ascii="宋体" w:hAnsi="宋体" w:eastAsia="宋体" w:cs="宋体"/>
          <w:color w:val="000000"/>
        </w:rPr>
        <w:t>与钟乳石形成机制相同的是（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AE0B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珊瑚礁</w:t>
      </w:r>
      <w:r>
        <w:rPr>
          <w:color w:val="000000"/>
        </w:rPr>
        <w:tab/>
      </w:r>
      <w:r>
        <w:rPr>
          <w:color w:val="000000"/>
        </w:rPr>
        <w:t xml:space="preserve">B. </w:t>
      </w:r>
      <w:r>
        <w:rPr>
          <w:rFonts w:ascii="宋体" w:hAnsi="宋体" w:eastAsia="宋体" w:cs="宋体"/>
          <w:color w:val="000000"/>
        </w:rPr>
        <w:t>玄武岩</w:t>
      </w:r>
      <w:r>
        <w:rPr>
          <w:color w:val="000000"/>
        </w:rPr>
        <w:tab/>
      </w:r>
      <w:r>
        <w:rPr>
          <w:color w:val="000000"/>
        </w:rPr>
        <w:t xml:space="preserve">C. </w:t>
      </w:r>
      <w:r>
        <w:rPr>
          <w:rFonts w:ascii="宋体" w:hAnsi="宋体" w:eastAsia="宋体" w:cs="宋体"/>
          <w:color w:val="000000"/>
        </w:rPr>
        <w:t>大理岩</w:t>
      </w:r>
      <w:r>
        <w:rPr>
          <w:color w:val="000000"/>
        </w:rPr>
        <w:tab/>
      </w:r>
      <w:r>
        <w:rPr>
          <w:color w:val="000000"/>
        </w:rPr>
        <w:t xml:space="preserve">D. </w:t>
      </w:r>
      <w:r>
        <w:rPr>
          <w:rFonts w:ascii="宋体" w:hAnsi="宋体" w:eastAsia="宋体" w:cs="宋体"/>
          <w:color w:val="000000"/>
        </w:rPr>
        <w:t>生物化石</w:t>
      </w:r>
    </w:p>
    <w:p w14:paraId="08AA37BF">
      <w:pPr>
        <w:spacing w:line="360" w:lineRule="auto"/>
        <w:ind w:firstLine="420"/>
        <w:jc w:val="left"/>
        <w:textAlignment w:val="center"/>
        <w:rPr>
          <w:color w:val="000000"/>
        </w:rPr>
      </w:pPr>
      <w:r>
        <w:rPr>
          <w:rFonts w:ascii="楷体" w:hAnsi="楷体" w:eastAsia="楷体" w:cs="楷体"/>
          <w:color w:val="000000"/>
        </w:rPr>
        <w:t>我国某都市圈</w:t>
      </w: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0~14</w:t>
      </w:r>
      <w:r>
        <w:rPr>
          <w:rFonts w:ascii="楷体" w:hAnsi="楷体" w:eastAsia="楷体" w:cs="楷体"/>
          <w:color w:val="000000"/>
        </w:rPr>
        <w:t>岁、</w:t>
      </w:r>
      <w:r>
        <w:rPr>
          <w:rFonts w:ascii="Times New Roman" w:hAnsi="Times New Roman" w:eastAsia="Times New Roman" w:cs="Times New Roman"/>
          <w:color w:val="000000"/>
        </w:rPr>
        <w:t>15~64</w:t>
      </w:r>
      <w:r>
        <w:rPr>
          <w:rFonts w:ascii="楷体" w:hAnsi="楷体" w:eastAsia="楷体" w:cs="楷体"/>
          <w:color w:val="000000"/>
        </w:rPr>
        <w:t>岁和</w:t>
      </w:r>
      <w:r>
        <w:rPr>
          <w:rFonts w:ascii="Times New Roman" w:hAnsi="Times New Roman" w:eastAsia="Times New Roman" w:cs="Times New Roman"/>
          <w:color w:val="000000"/>
        </w:rPr>
        <w:t>65</w:t>
      </w:r>
      <w:r>
        <w:rPr>
          <w:rFonts w:ascii="楷体" w:hAnsi="楷体" w:eastAsia="楷体" w:cs="楷体"/>
          <w:color w:val="000000"/>
        </w:rPr>
        <w:t>岁及以上各年龄段人口比重分别比全国平均水平低</w:t>
      </w:r>
      <w:r>
        <w:rPr>
          <w:rFonts w:ascii="Times New Roman" w:hAnsi="Times New Roman" w:eastAsia="Times New Roman" w:cs="Times New Roman"/>
          <w:color w:val="000000"/>
        </w:rPr>
        <w:t>6.33</w:t>
      </w:r>
      <w:r>
        <w:rPr>
          <w:rFonts w:ascii="楷体" w:hAnsi="楷体" w:eastAsia="楷体" w:cs="楷体"/>
          <w:color w:val="000000"/>
        </w:rPr>
        <w:t>、高</w:t>
      </w:r>
      <w:r>
        <w:rPr>
          <w:rFonts w:ascii="Times New Roman" w:hAnsi="Times New Roman" w:eastAsia="Times New Roman" w:cs="Times New Roman"/>
          <w:color w:val="000000"/>
        </w:rPr>
        <w:t>4.42</w:t>
      </w:r>
      <w:r>
        <w:rPr>
          <w:rFonts w:ascii="楷体" w:hAnsi="楷体" w:eastAsia="楷体" w:cs="楷体"/>
          <w:color w:val="000000"/>
        </w:rPr>
        <w:t>、高</w:t>
      </w:r>
      <w:r>
        <w:rPr>
          <w:rFonts w:ascii="Times New Roman" w:hAnsi="Times New Roman" w:eastAsia="Times New Roman" w:cs="Times New Roman"/>
          <w:color w:val="000000"/>
        </w:rPr>
        <w:t>1.91</w:t>
      </w:r>
      <w:r>
        <w:rPr>
          <w:rFonts w:ascii="楷体" w:hAnsi="楷体" w:eastAsia="楷体" w:cs="楷体"/>
          <w:color w:val="000000"/>
        </w:rPr>
        <w:t>个百分点。下图为该都市圈</w:t>
      </w:r>
      <w:r>
        <w:rPr>
          <w:rFonts w:ascii="Times New Roman" w:hAnsi="Times New Roman" w:eastAsia="Times New Roman" w:cs="Times New Roman"/>
          <w:color w:val="000000"/>
        </w:rPr>
        <w:t>2000</w:t>
      </w:r>
      <w:r>
        <w:rPr>
          <w:rFonts w:ascii="楷体" w:hAnsi="楷体" w:eastAsia="楷体" w:cs="楷体"/>
          <w:color w:val="000000"/>
        </w:rPr>
        <w:t>年、</w:t>
      </w:r>
      <w:r>
        <w:rPr>
          <w:rFonts w:ascii="Times New Roman" w:hAnsi="Times New Roman" w:eastAsia="Times New Roman" w:cs="Times New Roman"/>
          <w:color w:val="000000"/>
        </w:rPr>
        <w:t>2010</w:t>
      </w:r>
      <w:r>
        <w:rPr>
          <w:rFonts w:ascii="楷体" w:hAnsi="楷体" w:eastAsia="楷体" w:cs="楷体"/>
          <w:color w:val="000000"/>
        </w:rPr>
        <w:t>年和</w:t>
      </w:r>
      <w:r>
        <w:rPr>
          <w:rFonts w:ascii="Times New Roman" w:hAnsi="Times New Roman" w:eastAsia="Times New Roman" w:cs="Times New Roman"/>
          <w:color w:val="000000"/>
        </w:rPr>
        <w:t>2020</w:t>
      </w:r>
      <w:r>
        <w:rPr>
          <w:rFonts w:ascii="楷体" w:hAnsi="楷体" w:eastAsia="楷体" w:cs="楷体"/>
          <w:color w:val="000000"/>
        </w:rPr>
        <w:t>年人口密度随圈层变化图。完成下面小题。</w:t>
      </w:r>
    </w:p>
    <w:p w14:paraId="634EBD5E">
      <w:pPr>
        <w:spacing w:line="360" w:lineRule="auto"/>
        <w:jc w:val="left"/>
        <w:textAlignment w:val="center"/>
        <w:rPr>
          <w:color w:val="000000"/>
        </w:rPr>
      </w:pPr>
      <w:r>
        <w:rPr>
          <w:color w:val="000000"/>
        </w:rPr>
        <w:drawing>
          <wp:inline distT="0" distB="0" distL="114300" distR="114300">
            <wp:extent cx="4219575" cy="2571750"/>
            <wp:effectExtent l="0" t="0" r="9525" b="0"/>
            <wp:docPr id="100007" name="图片 100007"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yF6xsjZ0Xzzp2W+Da2wOPw=="/>
                    <pic:cNvPicPr>
                      <a:picLocks noChangeAspect="1"/>
                    </pic:cNvPicPr>
                  </pic:nvPicPr>
                  <pic:blipFill>
                    <a:blip r:embed="rId14"/>
                    <a:stretch>
                      <a:fillRect/>
                    </a:stretch>
                  </pic:blipFill>
                  <pic:spPr>
                    <a:xfrm>
                      <a:off x="0" y="0"/>
                      <a:ext cx="4219575" cy="2571750"/>
                    </a:xfrm>
                    <a:prstGeom prst="rect">
                      <a:avLst/>
                    </a:prstGeom>
                  </pic:spPr>
                </pic:pic>
              </a:graphicData>
            </a:graphic>
          </wp:inline>
        </w:drawing>
      </w:r>
    </w:p>
    <w:p w14:paraId="32D3C5BF">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w:t>
      </w:r>
      <w:r>
        <w:rPr>
          <w:rFonts w:ascii="宋体" w:hAnsi="宋体" w:eastAsia="宋体" w:cs="宋体"/>
          <w:color w:val="000000"/>
        </w:rPr>
        <w:t>年来，该都市圈人口增长主要来自（</w:t>
      </w:r>
      <w:r>
        <w:rPr>
          <w:rFonts w:ascii="Times New Roman" w:hAnsi="Times New Roman" w:eastAsia="Times New Roman" w:cs="Times New Roman"/>
          <w:color w:val="000000"/>
        </w:rPr>
        <w:t xml:space="preserve">   </w:t>
      </w:r>
      <w:r>
        <w:rPr>
          <w:rFonts w:ascii="宋体" w:hAnsi="宋体" w:eastAsia="宋体" w:cs="宋体"/>
          <w:color w:val="000000"/>
        </w:rPr>
        <w:t>）</w:t>
      </w:r>
    </w:p>
    <w:p w14:paraId="13CFF80B">
      <w:pPr>
        <w:spacing w:line="360" w:lineRule="auto"/>
        <w:jc w:val="left"/>
        <w:textAlignment w:val="center"/>
        <w:rPr>
          <w:color w:val="000000"/>
        </w:rPr>
      </w:pPr>
      <w:r>
        <w:rPr>
          <w:rFonts w:ascii="宋体" w:hAnsi="宋体" w:eastAsia="宋体" w:cs="宋体"/>
          <w:color w:val="000000"/>
        </w:rPr>
        <w:t>①劳动年龄人口②老年人③政策性人口集聚④自发性人口集聚</w:t>
      </w:r>
    </w:p>
    <w:p w14:paraId="6C5CB0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6314400">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w:t>
      </w:r>
      <w:r>
        <w:rPr>
          <w:rFonts w:ascii="宋体" w:hAnsi="宋体" w:eastAsia="宋体" w:cs="宋体"/>
          <w:color w:val="000000"/>
        </w:rPr>
        <w:t>年来，该都市圈</w:t>
      </w:r>
      <w:r>
        <w:rPr>
          <w:rFonts w:ascii="Times New Roman" w:hAnsi="Times New Roman" w:eastAsia="Times New Roman" w:cs="Times New Roman"/>
          <w:color w:val="000000"/>
        </w:rPr>
        <w:t>0~50</w:t>
      </w:r>
      <w:r>
        <w:rPr>
          <w:rFonts w:ascii="宋体" w:hAnsi="宋体" w:eastAsia="宋体" w:cs="宋体"/>
          <w:color w:val="000000"/>
        </w:rPr>
        <w:t>千米范围内人口密度增长迅速，反映出（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095587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人均居住用地扩大</w:t>
      </w:r>
      <w:r>
        <w:rPr>
          <w:color w:val="000000"/>
        </w:rPr>
        <w:tab/>
      </w:r>
      <w:r>
        <w:rPr>
          <w:color w:val="000000"/>
        </w:rPr>
        <w:t xml:space="preserve">B. </w:t>
      </w:r>
      <w:r>
        <w:rPr>
          <w:rFonts w:ascii="宋体" w:hAnsi="宋体" w:eastAsia="宋体" w:cs="宋体"/>
          <w:color w:val="000000"/>
        </w:rPr>
        <w:t>土地人口承载力提高</w:t>
      </w:r>
    </w:p>
    <w:p w14:paraId="0A9F2C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生态环境质量较优</w:t>
      </w:r>
      <w:r>
        <w:rPr>
          <w:color w:val="000000"/>
        </w:rPr>
        <w:tab/>
      </w:r>
      <w:r>
        <w:rPr>
          <w:color w:val="000000"/>
        </w:rPr>
        <w:t xml:space="preserve">D. </w:t>
      </w:r>
      <w:r>
        <w:rPr>
          <w:rFonts w:ascii="宋体" w:hAnsi="宋体" w:eastAsia="宋体" w:cs="宋体"/>
          <w:color w:val="000000"/>
        </w:rPr>
        <w:t>公共服务集聚效应强</w:t>
      </w:r>
    </w:p>
    <w:p w14:paraId="560296C9">
      <w:pPr>
        <w:spacing w:line="360" w:lineRule="auto"/>
        <w:jc w:val="left"/>
        <w:textAlignment w:val="center"/>
        <w:rPr>
          <w:color w:val="000000"/>
        </w:rPr>
      </w:pPr>
      <w:r>
        <w:rPr>
          <w:color w:val="000000"/>
        </w:rPr>
        <w:t xml:space="preserve">11. </w:t>
      </w:r>
      <w:r>
        <w:rPr>
          <w:rFonts w:ascii="宋体" w:hAnsi="宋体" w:eastAsia="宋体" w:cs="宋体"/>
          <w:color w:val="000000"/>
        </w:rPr>
        <w:t>该都市核心圈交通布局形态为</w:t>
      </w:r>
      <w:r>
        <w:rPr>
          <w:rFonts w:ascii="Times New Roman" w:hAnsi="Times New Roman" w:eastAsia="Times New Roman" w:cs="Times New Roman"/>
          <w:color w:val="000000"/>
        </w:rPr>
        <w:t>“</w:t>
      </w:r>
      <w:r>
        <w:rPr>
          <w:rFonts w:ascii="宋体" w:hAnsi="宋体" w:eastAsia="宋体" w:cs="宋体"/>
          <w:color w:val="000000"/>
        </w:rPr>
        <w:t>环形十放射状</w:t>
      </w:r>
      <w:r>
        <w:rPr>
          <w:rFonts w:ascii="Times New Roman" w:hAnsi="Times New Roman" w:eastAsia="Times New Roman" w:cs="Times New Roman"/>
          <w:color w:val="000000"/>
        </w:rPr>
        <w:t>”</w:t>
      </w:r>
      <w:r>
        <w:rPr>
          <w:rFonts w:ascii="宋体" w:hAnsi="宋体" w:eastAsia="宋体" w:cs="宋体"/>
          <w:color w:val="000000"/>
        </w:rPr>
        <w:t>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7CE5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引导人口向交通沿线分布</w:t>
      </w:r>
      <w:r>
        <w:rPr>
          <w:color w:val="000000"/>
        </w:rPr>
        <w:tab/>
      </w:r>
      <w:r>
        <w:rPr>
          <w:color w:val="000000"/>
        </w:rPr>
        <w:t xml:space="preserve">B. </w:t>
      </w:r>
      <w:r>
        <w:rPr>
          <w:rFonts w:ascii="宋体" w:hAnsi="宋体" w:eastAsia="宋体" w:cs="宋体"/>
          <w:color w:val="000000"/>
        </w:rPr>
        <w:t>促进物流功能向市郊聚集</w:t>
      </w:r>
    </w:p>
    <w:p w14:paraId="1CFD6A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吸引服务业沿交通线布局</w:t>
      </w:r>
      <w:r>
        <w:rPr>
          <w:color w:val="000000"/>
        </w:rPr>
        <w:tab/>
      </w:r>
      <w:r>
        <w:rPr>
          <w:color w:val="000000"/>
        </w:rPr>
        <w:t xml:space="preserve">D. </w:t>
      </w:r>
      <w:r>
        <w:rPr>
          <w:rFonts w:ascii="宋体" w:hAnsi="宋体" w:eastAsia="宋体" w:cs="宋体"/>
          <w:color w:val="000000"/>
        </w:rPr>
        <w:t>构建方便快捷的通勤网络</w:t>
      </w:r>
    </w:p>
    <w:p w14:paraId="28BE4573">
      <w:pPr>
        <w:spacing w:line="360" w:lineRule="auto"/>
        <w:ind w:firstLine="420"/>
        <w:jc w:val="left"/>
        <w:textAlignment w:val="center"/>
        <w:rPr>
          <w:color w:val="000000"/>
        </w:rPr>
      </w:pPr>
      <w:r>
        <w:rPr>
          <w:rFonts w:ascii="楷体" w:hAnsi="楷体" w:eastAsia="楷体" w:cs="楷体"/>
          <w:color w:val="000000"/>
        </w:rPr>
        <w:t>北京时间</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11</w:t>
      </w:r>
      <w:r>
        <w:rPr>
          <w:rFonts w:ascii="楷体" w:hAnsi="楷体" w:eastAsia="楷体" w:cs="楷体"/>
          <w:color w:val="000000"/>
        </w:rPr>
        <w:t>日</w:t>
      </w:r>
      <w:r>
        <w:rPr>
          <w:rFonts w:ascii="Times New Roman" w:hAnsi="Times New Roman" w:eastAsia="Times New Roman" w:cs="Times New Roman"/>
          <w:color w:val="000000"/>
        </w:rPr>
        <w:t>0</w:t>
      </w:r>
      <w:r>
        <w:rPr>
          <w:rFonts w:ascii="楷体" w:hAnsi="楷体" w:eastAsia="楷体" w:cs="楷体"/>
          <w:color w:val="000000"/>
        </w:rPr>
        <w:t>时</w:t>
      </w:r>
      <w:r>
        <w:rPr>
          <w:rFonts w:ascii="Times New Roman" w:hAnsi="Times New Roman" w:eastAsia="Times New Roman" w:cs="Times New Roman"/>
          <w:color w:val="000000"/>
        </w:rPr>
        <w:t>49</w:t>
      </w:r>
      <w:r>
        <w:rPr>
          <w:rFonts w:ascii="楷体" w:hAnsi="楷体" w:eastAsia="楷体" w:cs="楷体"/>
          <w:color w:val="000000"/>
        </w:rPr>
        <w:t>分，古巴南部海域（</w:t>
      </w:r>
      <w:r>
        <w:rPr>
          <w:rFonts w:ascii="Times New Roman" w:hAnsi="Times New Roman" w:eastAsia="Times New Roman" w:cs="Times New Roman"/>
          <w:color w:val="000000"/>
        </w:rPr>
        <w:t>19.8°N</w:t>
      </w:r>
      <w:r>
        <w:rPr>
          <w:rFonts w:ascii="楷体" w:hAnsi="楷体" w:eastAsia="楷体" w:cs="楷体"/>
          <w:color w:val="000000"/>
        </w:rPr>
        <w:t>，</w:t>
      </w:r>
      <w:r>
        <w:rPr>
          <w:rFonts w:ascii="Times New Roman" w:hAnsi="Times New Roman" w:eastAsia="Times New Roman" w:cs="Times New Roman"/>
          <w:color w:val="000000"/>
        </w:rPr>
        <w:t>77.0°W</w:t>
      </w:r>
      <w:r>
        <w:rPr>
          <w:rFonts w:ascii="楷体" w:hAnsi="楷体" w:eastAsia="楷体" w:cs="楷体"/>
          <w:color w:val="000000"/>
        </w:rPr>
        <w:t>）发生</w:t>
      </w:r>
      <w:r>
        <w:rPr>
          <w:rFonts w:ascii="Times New Roman" w:hAnsi="Times New Roman" w:eastAsia="Times New Roman" w:cs="Times New Roman"/>
          <w:color w:val="000000"/>
        </w:rPr>
        <w:t>6.8</w:t>
      </w:r>
      <w:r>
        <w:rPr>
          <w:rFonts w:ascii="楷体" w:hAnsi="楷体" w:eastAsia="楷体" w:cs="楷体"/>
          <w:color w:val="000000"/>
        </w:rPr>
        <w:t>级地震，震源深度</w:t>
      </w:r>
      <w:r>
        <w:rPr>
          <w:rFonts w:ascii="Times New Roman" w:hAnsi="Times New Roman" w:eastAsia="Times New Roman" w:cs="Times New Roman"/>
          <w:color w:val="000000"/>
        </w:rPr>
        <w:t>20</w:t>
      </w:r>
      <w:r>
        <w:rPr>
          <w:rFonts w:ascii="楷体" w:hAnsi="楷体" w:eastAsia="楷体" w:cs="楷体"/>
          <w:color w:val="000000"/>
        </w:rPr>
        <w:t>千米。完成下面小题。</w:t>
      </w:r>
    </w:p>
    <w:p w14:paraId="23D8237C">
      <w:pPr>
        <w:spacing w:line="360" w:lineRule="auto"/>
        <w:jc w:val="left"/>
        <w:textAlignment w:val="center"/>
        <w:rPr>
          <w:color w:val="000000"/>
        </w:rPr>
      </w:pPr>
      <w:r>
        <w:rPr>
          <w:color w:val="000000"/>
        </w:rPr>
        <w:drawing>
          <wp:inline distT="0" distB="0" distL="114300" distR="114300">
            <wp:extent cx="3581400" cy="2019300"/>
            <wp:effectExtent l="0" t="0" r="0" b="0"/>
            <wp:docPr id="100009" name="图片 100009"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yF6xsjZ0Xzzp2W+Da2wOPw=="/>
                    <pic:cNvPicPr>
                      <a:picLocks noChangeAspect="1"/>
                    </pic:cNvPicPr>
                  </pic:nvPicPr>
                  <pic:blipFill>
                    <a:blip r:embed="rId15"/>
                    <a:stretch>
                      <a:fillRect/>
                    </a:stretch>
                  </pic:blipFill>
                  <pic:spPr>
                    <a:xfrm>
                      <a:off x="0" y="0"/>
                      <a:ext cx="3581400" cy="2019300"/>
                    </a:xfrm>
                    <a:prstGeom prst="rect">
                      <a:avLst/>
                    </a:prstGeom>
                  </pic:spPr>
                </pic:pic>
              </a:graphicData>
            </a:graphic>
          </wp:inline>
        </w:drawing>
      </w:r>
    </w:p>
    <w:p w14:paraId="7918CA83">
      <w:pPr>
        <w:spacing w:line="360" w:lineRule="auto"/>
        <w:jc w:val="left"/>
        <w:textAlignment w:val="center"/>
        <w:rPr>
          <w:color w:val="000000"/>
        </w:rPr>
      </w:pPr>
      <w:r>
        <w:rPr>
          <w:color w:val="000000"/>
        </w:rPr>
        <w:t xml:space="preserve">12. </w:t>
      </w:r>
      <w:r>
        <w:rPr>
          <w:rFonts w:ascii="宋体" w:hAnsi="宋体" w:eastAsia="宋体" w:cs="宋体"/>
          <w:color w:val="000000"/>
        </w:rPr>
        <w:t>此次地震（</w:t>
      </w:r>
      <w:r>
        <w:rPr>
          <w:rFonts w:ascii="Times New Roman" w:hAnsi="Times New Roman" w:eastAsia="Times New Roman" w:cs="Times New Roman"/>
          <w:color w:val="000000"/>
        </w:rPr>
        <w:t xml:space="preserve">   </w:t>
      </w:r>
      <w:r>
        <w:rPr>
          <w:rFonts w:ascii="宋体" w:hAnsi="宋体" w:eastAsia="宋体" w:cs="宋体"/>
          <w:color w:val="000000"/>
        </w:rPr>
        <w:t>）</w:t>
      </w:r>
    </w:p>
    <w:p w14:paraId="1276D3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震中位于大西洋中脊</w:t>
      </w:r>
      <w:r>
        <w:rPr>
          <w:color w:val="000000"/>
        </w:rPr>
        <w:tab/>
      </w:r>
      <w:r>
        <w:rPr>
          <w:color w:val="000000"/>
        </w:rPr>
        <w:t xml:space="preserve">B. </w:t>
      </w:r>
      <w:r>
        <w:rPr>
          <w:rFonts w:ascii="宋体" w:hAnsi="宋体" w:eastAsia="宋体" w:cs="宋体"/>
          <w:color w:val="000000"/>
        </w:rPr>
        <w:t>附近为板块消亡边界</w:t>
      </w:r>
    </w:p>
    <w:p w14:paraId="0F2AFA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震源位于太平洋板块</w:t>
      </w:r>
      <w:r>
        <w:rPr>
          <w:color w:val="000000"/>
        </w:rPr>
        <w:tab/>
      </w:r>
      <w:r>
        <w:rPr>
          <w:color w:val="000000"/>
        </w:rPr>
        <w:t xml:space="preserve">D. </w:t>
      </w:r>
      <w:r>
        <w:rPr>
          <w:rFonts w:ascii="宋体" w:hAnsi="宋体" w:eastAsia="宋体" w:cs="宋体"/>
          <w:color w:val="000000"/>
        </w:rPr>
        <w:t>引发海啸危及哈瓦那</w:t>
      </w:r>
    </w:p>
    <w:p w14:paraId="253804C8">
      <w:pPr>
        <w:spacing w:line="360" w:lineRule="auto"/>
        <w:jc w:val="left"/>
        <w:textAlignment w:val="center"/>
        <w:rPr>
          <w:color w:val="000000"/>
        </w:rPr>
      </w:pPr>
      <w:r>
        <w:rPr>
          <w:color w:val="000000"/>
        </w:rPr>
        <w:t xml:space="preserve">13. </w:t>
      </w:r>
      <w:r>
        <w:rPr>
          <w:rFonts w:ascii="宋体" w:hAnsi="宋体" w:eastAsia="宋体" w:cs="宋体"/>
          <w:color w:val="000000"/>
        </w:rPr>
        <w:t>甲、乙、丙、丁四地海底岩石年龄最小的是（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0D64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4E5ACF9E">
      <w:pPr>
        <w:spacing w:line="360" w:lineRule="auto"/>
        <w:jc w:val="left"/>
        <w:textAlignment w:val="center"/>
        <w:rPr>
          <w:color w:val="000000"/>
        </w:rPr>
      </w:pPr>
      <w:r>
        <w:rPr>
          <w:color w:val="000000"/>
        </w:rPr>
        <w:t xml:space="preserve">14. </w:t>
      </w:r>
      <w:r>
        <w:rPr>
          <w:rFonts w:ascii="宋体" w:hAnsi="宋体" w:eastAsia="宋体" w:cs="宋体"/>
          <w:color w:val="000000"/>
        </w:rPr>
        <w:t>甲、乙、丙、丁四地表层海水性质比较，正确的是（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F398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海水盐度：甲</w:t>
      </w:r>
      <w:r>
        <w:rPr>
          <w:rFonts w:ascii="Times New Roman" w:hAnsi="Times New Roman" w:eastAsia="Times New Roman" w:cs="Times New Roman"/>
          <w:color w:val="000000"/>
        </w:rPr>
        <w:t>&gt;</w:t>
      </w:r>
      <w:r>
        <w:rPr>
          <w:rFonts w:ascii="宋体" w:hAnsi="宋体" w:eastAsia="宋体" w:cs="宋体"/>
          <w:color w:val="000000"/>
        </w:rPr>
        <w:t>乙</w:t>
      </w:r>
      <w:r>
        <w:rPr>
          <w:color w:val="000000"/>
        </w:rPr>
        <w:tab/>
      </w:r>
      <w:r>
        <w:rPr>
          <w:color w:val="000000"/>
        </w:rPr>
        <w:t xml:space="preserve">B. </w:t>
      </w:r>
      <w:r>
        <w:rPr>
          <w:rFonts w:ascii="宋体" w:hAnsi="宋体" w:eastAsia="宋体" w:cs="宋体"/>
          <w:color w:val="000000"/>
        </w:rPr>
        <w:t>海水温度：甲</w:t>
      </w:r>
      <w:r>
        <w:rPr>
          <w:rFonts w:ascii="Times New Roman" w:hAnsi="Times New Roman" w:eastAsia="Times New Roman" w:cs="Times New Roman"/>
          <w:color w:val="000000"/>
        </w:rPr>
        <w:t>&gt;</w:t>
      </w:r>
      <w:r>
        <w:rPr>
          <w:rFonts w:ascii="宋体" w:hAnsi="宋体" w:eastAsia="宋体" w:cs="宋体"/>
          <w:color w:val="000000"/>
        </w:rPr>
        <w:t>乙</w:t>
      </w:r>
    </w:p>
    <w:p w14:paraId="3983AD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海水盐度：乙</w:t>
      </w:r>
      <w:r>
        <w:rPr>
          <w:rFonts w:ascii="Times New Roman" w:hAnsi="Times New Roman" w:eastAsia="Times New Roman" w:cs="Times New Roman"/>
          <w:color w:val="000000"/>
        </w:rPr>
        <w:t>&gt;</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海水密度：丙</w:t>
      </w:r>
      <w:r>
        <w:rPr>
          <w:rFonts w:ascii="Times New Roman" w:hAnsi="Times New Roman" w:eastAsia="Times New Roman" w:cs="Times New Roman"/>
          <w:color w:val="000000"/>
        </w:rPr>
        <w:t>&gt;</w:t>
      </w:r>
      <w:r>
        <w:rPr>
          <w:rFonts w:ascii="宋体" w:hAnsi="宋体" w:eastAsia="宋体" w:cs="宋体"/>
          <w:color w:val="000000"/>
        </w:rPr>
        <w:t>丁</w:t>
      </w:r>
    </w:p>
    <w:p w14:paraId="58DD71DC">
      <w:pPr>
        <w:spacing w:line="360" w:lineRule="auto"/>
        <w:ind w:firstLine="420"/>
        <w:jc w:val="left"/>
        <w:textAlignment w:val="center"/>
        <w:rPr>
          <w:color w:val="000000"/>
        </w:rPr>
      </w:pPr>
      <w:r>
        <w:rPr>
          <w:rFonts w:ascii="楷体" w:hAnsi="楷体" w:eastAsia="楷体" w:cs="楷体"/>
          <w:color w:val="000000"/>
        </w:rPr>
        <w:t>下图</w:t>
      </w:r>
      <w:r>
        <w:rPr>
          <w:rFonts w:ascii="Times New Roman" w:hAnsi="Times New Roman" w:eastAsia="Times New Roman" w:cs="Times New Roman"/>
          <w:color w:val="000000"/>
        </w:rPr>
        <w:t>1</w:t>
      </w:r>
      <w:r>
        <w:rPr>
          <w:rFonts w:ascii="楷体" w:hAnsi="楷体" w:eastAsia="楷体" w:cs="楷体"/>
          <w:color w:val="000000"/>
        </w:rPr>
        <w:t>为南极洲某冰架</w:t>
      </w:r>
      <w:r>
        <w:rPr>
          <w:rFonts w:ascii="Times New Roman" w:hAnsi="Times New Roman" w:eastAsia="Times New Roman" w:cs="Times New Roman"/>
          <w:color w:val="000000"/>
        </w:rPr>
        <w:t>30</w:t>
      </w:r>
      <w:r>
        <w:rPr>
          <w:rFonts w:ascii="楷体" w:hAnsi="楷体" w:eastAsia="楷体" w:cs="楷体"/>
          <w:color w:val="000000"/>
        </w:rPr>
        <w:t>多年来面积变化遥感监测图。完成下面小题。</w:t>
      </w:r>
    </w:p>
    <w:p w14:paraId="3ECA653D">
      <w:pPr>
        <w:spacing w:line="360" w:lineRule="auto"/>
        <w:jc w:val="left"/>
        <w:textAlignment w:val="center"/>
        <w:rPr>
          <w:color w:val="000000"/>
        </w:rPr>
      </w:pPr>
      <w:r>
        <w:rPr>
          <w:color w:val="000000"/>
        </w:rPr>
        <w:drawing>
          <wp:inline distT="0" distB="0" distL="114300" distR="114300">
            <wp:extent cx="3543300" cy="1533525"/>
            <wp:effectExtent l="0" t="0" r="0" b="9525"/>
            <wp:docPr id="100011" name="图片 100011"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yF6xsjZ0Xzzp2W+Da2wOPw=="/>
                    <pic:cNvPicPr>
                      <a:picLocks noChangeAspect="1"/>
                    </pic:cNvPicPr>
                  </pic:nvPicPr>
                  <pic:blipFill>
                    <a:blip r:embed="rId16"/>
                    <a:stretch>
                      <a:fillRect/>
                    </a:stretch>
                  </pic:blipFill>
                  <pic:spPr>
                    <a:xfrm>
                      <a:off x="0" y="0"/>
                      <a:ext cx="3543300" cy="1533525"/>
                    </a:xfrm>
                    <a:prstGeom prst="rect">
                      <a:avLst/>
                    </a:prstGeom>
                  </pic:spPr>
                </pic:pic>
              </a:graphicData>
            </a:graphic>
          </wp:inline>
        </w:drawing>
      </w:r>
    </w:p>
    <w:p w14:paraId="12B0471D">
      <w:pPr>
        <w:spacing w:line="360" w:lineRule="auto"/>
        <w:jc w:val="left"/>
        <w:textAlignment w:val="center"/>
        <w:rPr>
          <w:color w:val="000000"/>
        </w:rPr>
      </w:pPr>
      <w:r>
        <w:rPr>
          <w:color w:val="000000"/>
        </w:rPr>
        <w:t xml:space="preserve">15. </w:t>
      </w:r>
      <w:r>
        <w:rPr>
          <w:rFonts w:ascii="宋体" w:hAnsi="宋体" w:eastAsia="宋体" w:cs="宋体"/>
          <w:color w:val="000000"/>
        </w:rPr>
        <w:t>该冰架面积变化体现的全球气候变化，引发（</w:t>
      </w:r>
      <w:r>
        <w:rPr>
          <w:rFonts w:ascii="Times New Roman" w:hAnsi="Times New Roman" w:eastAsia="Times New Roman" w:cs="Times New Roman"/>
          <w:color w:val="000000"/>
        </w:rPr>
        <w:t xml:space="preserve">   </w:t>
      </w:r>
      <w:r>
        <w:rPr>
          <w:rFonts w:ascii="宋体" w:hAnsi="宋体" w:eastAsia="宋体" w:cs="宋体"/>
          <w:color w:val="000000"/>
        </w:rPr>
        <w:t>）</w:t>
      </w:r>
    </w:p>
    <w:p w14:paraId="5AC99C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北极航道通航能力提升</w:t>
      </w:r>
      <w:r>
        <w:rPr>
          <w:color w:val="000000"/>
        </w:rPr>
        <w:tab/>
      </w:r>
      <w:r>
        <w:rPr>
          <w:color w:val="000000"/>
        </w:rPr>
        <w:t xml:space="preserve">B. </w:t>
      </w:r>
      <w:r>
        <w:rPr>
          <w:rFonts w:ascii="宋体" w:hAnsi="宋体" w:eastAsia="宋体" w:cs="宋体"/>
          <w:color w:val="000000"/>
        </w:rPr>
        <w:t>青藏高原湖泊面积缩小</w:t>
      </w:r>
    </w:p>
    <w:p w14:paraId="2C335D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我国冬小麦北界向南移</w:t>
      </w:r>
      <w:r>
        <w:rPr>
          <w:color w:val="000000"/>
        </w:rPr>
        <w:tab/>
      </w:r>
      <w:r>
        <w:rPr>
          <w:color w:val="000000"/>
        </w:rPr>
        <w:t xml:space="preserve">D. </w:t>
      </w:r>
      <w:r>
        <w:rPr>
          <w:rFonts w:ascii="宋体" w:hAnsi="宋体" w:eastAsia="宋体" w:cs="宋体"/>
          <w:color w:val="000000"/>
        </w:rPr>
        <w:t>我国西北高山雪线下降</w:t>
      </w:r>
    </w:p>
    <w:p w14:paraId="742033DE">
      <w:pPr>
        <w:spacing w:line="360" w:lineRule="auto"/>
        <w:jc w:val="left"/>
        <w:textAlignment w:val="center"/>
        <w:rPr>
          <w:color w:val="000000"/>
        </w:rPr>
      </w:pPr>
      <w:r>
        <w:rPr>
          <w:color w:val="000000"/>
        </w:rPr>
        <w:t xml:space="preserve">16. </w:t>
      </w:r>
      <w:r>
        <w:rPr>
          <w:rFonts w:ascii="宋体" w:hAnsi="宋体" w:eastAsia="宋体" w:cs="宋体"/>
          <w:color w:val="000000"/>
        </w:rPr>
        <w:t>下列利用遥感技术监测的项目中，可确定甲为岛礁而非浮冰的是（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F6B7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激光雷达遥感探测冰面起伏</w:t>
      </w:r>
      <w:r>
        <w:rPr>
          <w:color w:val="000000"/>
        </w:rPr>
        <w:tab/>
      </w:r>
      <w:r>
        <w:rPr>
          <w:color w:val="000000"/>
        </w:rPr>
        <w:t xml:space="preserve">B. </w:t>
      </w:r>
      <w:r>
        <w:rPr>
          <w:rFonts w:ascii="宋体" w:hAnsi="宋体" w:eastAsia="宋体" w:cs="宋体"/>
          <w:color w:val="000000"/>
        </w:rPr>
        <w:t>热红外遥感获取海表温度分布</w:t>
      </w:r>
    </w:p>
    <w:p w14:paraId="2E5ABD4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微波遥感探测水下三维地形</w:t>
      </w:r>
      <w:r>
        <w:rPr>
          <w:color w:val="000000"/>
        </w:rPr>
        <w:tab/>
      </w:r>
      <w:r>
        <w:rPr>
          <w:color w:val="000000"/>
        </w:rPr>
        <w:t xml:space="preserve">D. </w:t>
      </w:r>
      <w:r>
        <w:rPr>
          <w:rFonts w:ascii="宋体" w:hAnsi="宋体" w:eastAsia="宋体" w:cs="宋体"/>
          <w:color w:val="000000"/>
        </w:rPr>
        <w:t>可见光遥感获取冰面面积大小</w:t>
      </w:r>
    </w:p>
    <w:p w14:paraId="0D7762ED">
      <w:pPr>
        <w:spacing w:line="360" w:lineRule="auto"/>
        <w:jc w:val="left"/>
        <w:textAlignment w:val="center"/>
        <w:rPr>
          <w:color w:val="000000"/>
        </w:rPr>
      </w:pPr>
      <w:r>
        <w:rPr>
          <w:color w:val="000000"/>
        </w:rPr>
        <w:t xml:space="preserve">17.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（左）所示的海拔高度变化剖面线，对应图</w:t>
      </w:r>
      <w:r>
        <w:rPr>
          <w:rFonts w:ascii="Times New Roman" w:hAnsi="Times New Roman" w:eastAsia="Times New Roman" w:cs="Times New Roman"/>
          <w:color w:val="000000"/>
        </w:rPr>
        <w:t>2</w:t>
      </w:r>
      <w:r>
        <w:rPr>
          <w:rFonts w:ascii="宋体" w:hAnsi="宋体" w:eastAsia="宋体" w:cs="宋体"/>
          <w:color w:val="000000"/>
        </w:rPr>
        <w:t>（右）中的（</w:t>
      </w:r>
      <w:r>
        <w:rPr>
          <w:rFonts w:ascii="Times New Roman" w:hAnsi="Times New Roman" w:eastAsia="Times New Roman" w:cs="Times New Roman"/>
          <w:color w:val="000000"/>
        </w:rPr>
        <w:t xml:space="preserve">   </w:t>
      </w:r>
      <w:r>
        <w:rPr>
          <w:rFonts w:ascii="宋体" w:hAnsi="宋体" w:eastAsia="宋体" w:cs="宋体"/>
          <w:color w:val="000000"/>
        </w:rPr>
        <w:t>）</w:t>
      </w:r>
    </w:p>
    <w:p w14:paraId="77943F59">
      <w:pPr>
        <w:spacing w:line="360" w:lineRule="auto"/>
        <w:jc w:val="left"/>
        <w:textAlignment w:val="center"/>
        <w:rPr>
          <w:color w:val="000000"/>
        </w:rPr>
      </w:pPr>
      <w:r>
        <w:rPr>
          <w:color w:val="000000"/>
        </w:rPr>
        <w:drawing>
          <wp:inline distT="0" distB="0" distL="114300" distR="114300">
            <wp:extent cx="3971925" cy="1619250"/>
            <wp:effectExtent l="0" t="0" r="9525" b="0"/>
            <wp:docPr id="100013" name="图片 100013"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yF6xsjZ0Xzzp2W+Da2wOPw=="/>
                    <pic:cNvPicPr>
                      <a:picLocks noChangeAspect="1"/>
                    </pic:cNvPicPr>
                  </pic:nvPicPr>
                  <pic:blipFill>
                    <a:blip r:embed="rId17"/>
                    <a:stretch>
                      <a:fillRect/>
                    </a:stretch>
                  </pic:blipFill>
                  <pic:spPr>
                    <a:xfrm>
                      <a:off x="0" y="0"/>
                      <a:ext cx="3971925" cy="1619250"/>
                    </a:xfrm>
                    <a:prstGeom prst="rect">
                      <a:avLst/>
                    </a:prstGeom>
                  </pic:spPr>
                </pic:pic>
              </a:graphicData>
            </a:graphic>
          </wp:inline>
        </w:drawing>
      </w:r>
    </w:p>
    <w:p w14:paraId="0F0A16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015FDE74">
      <w:pPr>
        <w:spacing w:line="360" w:lineRule="auto"/>
        <w:ind w:firstLine="420"/>
        <w:jc w:val="left"/>
        <w:textAlignment w:val="center"/>
        <w:rPr>
          <w:color w:val="000000"/>
        </w:rPr>
      </w:pPr>
      <w:r>
        <w:rPr>
          <w:rFonts w:ascii="楷体" w:hAnsi="楷体" w:eastAsia="楷体" w:cs="楷体"/>
          <w:color w:val="000000"/>
        </w:rPr>
        <w:t>俄罗斯矿产资源丰富。随着工业生产的发展，俄罗斯对某些特定矿产的需求增加，前苏联时期发现和勘探的矿产储量即将耗尽，矿产进口又因西方国家的经济制裁受到威胁，为此更新了战略性矿产资源清单。下图为俄罗斯战略性矿产资源清单变化示意图。完成下面小题。</w:t>
      </w:r>
    </w:p>
    <w:p w14:paraId="1FC8249C">
      <w:pPr>
        <w:spacing w:line="360" w:lineRule="auto"/>
        <w:jc w:val="left"/>
        <w:textAlignment w:val="center"/>
        <w:rPr>
          <w:color w:val="000000"/>
        </w:rPr>
      </w:pPr>
      <w:r>
        <w:rPr>
          <w:color w:val="000000"/>
        </w:rPr>
        <w:drawing>
          <wp:inline distT="0" distB="0" distL="114300" distR="114300">
            <wp:extent cx="4714875" cy="2390775"/>
            <wp:effectExtent l="0" t="0" r="9525" b="9525"/>
            <wp:docPr id="100015" name="图片 100015"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yF6xsjZ0Xzzp2W+Da2wOPw=="/>
                    <pic:cNvPicPr>
                      <a:picLocks noChangeAspect="1"/>
                    </pic:cNvPicPr>
                  </pic:nvPicPr>
                  <pic:blipFill>
                    <a:blip r:embed="rId18"/>
                    <a:stretch>
                      <a:fillRect/>
                    </a:stretch>
                  </pic:blipFill>
                  <pic:spPr>
                    <a:xfrm>
                      <a:off x="0" y="0"/>
                      <a:ext cx="4714875" cy="2390775"/>
                    </a:xfrm>
                    <a:prstGeom prst="rect">
                      <a:avLst/>
                    </a:prstGeom>
                  </pic:spPr>
                </pic:pic>
              </a:graphicData>
            </a:graphic>
          </wp:inline>
        </w:drawing>
      </w:r>
    </w:p>
    <w:p w14:paraId="0941F52B">
      <w:pPr>
        <w:spacing w:line="360" w:lineRule="auto"/>
        <w:jc w:val="left"/>
        <w:textAlignment w:val="center"/>
        <w:rPr>
          <w:color w:val="000000"/>
        </w:rPr>
      </w:pPr>
      <w:r>
        <w:rPr>
          <w:color w:val="000000"/>
        </w:rPr>
        <w:t xml:space="preserve">18. </w:t>
      </w:r>
      <w:r>
        <w:rPr>
          <w:rFonts w:ascii="宋体" w:hAnsi="宋体" w:eastAsia="宋体" w:cs="宋体"/>
          <w:color w:val="000000"/>
        </w:rPr>
        <w:t>俄罗斯增加战略性矿产资源种类的主要目的是（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278E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促进高科技产业转型升级</w:t>
      </w:r>
      <w:r>
        <w:rPr>
          <w:color w:val="000000"/>
        </w:rPr>
        <w:tab/>
      </w:r>
      <w:r>
        <w:rPr>
          <w:color w:val="000000"/>
        </w:rPr>
        <w:t xml:space="preserve">B. </w:t>
      </w:r>
      <w:r>
        <w:rPr>
          <w:rFonts w:ascii="宋体" w:hAnsi="宋体" w:eastAsia="宋体" w:cs="宋体"/>
          <w:color w:val="000000"/>
        </w:rPr>
        <w:t>提高战略性矿产资源利用率</w:t>
      </w:r>
    </w:p>
    <w:p w14:paraId="3C0854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限制战略性矿产资源出口</w:t>
      </w:r>
      <w:r>
        <w:rPr>
          <w:color w:val="000000"/>
        </w:rPr>
        <w:tab/>
      </w:r>
      <w:r>
        <w:rPr>
          <w:color w:val="000000"/>
        </w:rPr>
        <w:t xml:space="preserve">D. </w:t>
      </w:r>
      <w:r>
        <w:rPr>
          <w:rFonts w:ascii="宋体" w:hAnsi="宋体" w:eastAsia="宋体" w:cs="宋体"/>
          <w:color w:val="000000"/>
        </w:rPr>
        <w:t>提升在全球供应链中的地位</w:t>
      </w:r>
    </w:p>
    <w:p w14:paraId="45713D1F">
      <w:pPr>
        <w:spacing w:line="360" w:lineRule="auto"/>
        <w:jc w:val="left"/>
        <w:textAlignment w:val="center"/>
        <w:rPr>
          <w:color w:val="000000"/>
        </w:rPr>
      </w:pPr>
      <w:r>
        <w:rPr>
          <w:color w:val="000000"/>
        </w:rPr>
        <w:t xml:space="preserve">19. </w:t>
      </w:r>
      <w:r>
        <w:rPr>
          <w:rFonts w:ascii="宋体" w:hAnsi="宋体" w:eastAsia="宋体" w:cs="宋体"/>
          <w:color w:val="000000"/>
        </w:rPr>
        <w:t>俄罗斯更新其战略性矿产资源清单产生</w:t>
      </w:r>
      <w:r>
        <w:rPr>
          <w:rFonts w:ascii="宋体" w:hAnsi="宋体" w:eastAsia="宋体" w:cs="宋体"/>
          <w:color w:val="000000"/>
          <w:position w:val="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最主要影响是（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0091A1D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限制外国资本进入战略性矿产领域</w:t>
      </w:r>
      <w:r>
        <w:rPr>
          <w:color w:val="000000"/>
        </w:rPr>
        <w:tab/>
      </w:r>
      <w:r>
        <w:rPr>
          <w:color w:val="000000"/>
        </w:rPr>
        <w:t xml:space="preserve">B. </w:t>
      </w:r>
      <w:r>
        <w:rPr>
          <w:rFonts w:ascii="宋体" w:hAnsi="宋体" w:eastAsia="宋体" w:cs="宋体"/>
          <w:color w:val="000000"/>
        </w:rPr>
        <w:t>推动战略性矿产国际合作</w:t>
      </w:r>
    </w:p>
    <w:p w14:paraId="2F5E37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刺激国内战略性矿产的勘探与开采</w:t>
      </w:r>
      <w:r>
        <w:rPr>
          <w:color w:val="000000"/>
        </w:rPr>
        <w:tab/>
      </w:r>
      <w:r>
        <w:rPr>
          <w:color w:val="000000"/>
        </w:rPr>
        <w:t xml:space="preserve">D. </w:t>
      </w:r>
      <w:r>
        <w:rPr>
          <w:rFonts w:ascii="宋体" w:hAnsi="宋体" w:eastAsia="宋体" w:cs="宋体"/>
          <w:color w:val="000000"/>
        </w:rPr>
        <w:t>增加战略性矿产资源储备</w:t>
      </w:r>
    </w:p>
    <w:p w14:paraId="5076661F">
      <w:pPr>
        <w:spacing w:line="360" w:lineRule="auto"/>
        <w:ind w:firstLine="420"/>
        <w:jc w:val="left"/>
        <w:textAlignment w:val="center"/>
        <w:rPr>
          <w:color w:val="000000"/>
        </w:rPr>
      </w:pPr>
      <w:r>
        <w:rPr>
          <w:rFonts w:ascii="楷体" w:hAnsi="楷体" w:eastAsia="楷体" w:cs="楷体"/>
          <w:color w:val="000000"/>
        </w:rPr>
        <w:t>生活圈是由满足日常生活需求的各类服务活动所构成的空间范围，根据居民到服务设施出行时间的长短可划分不同等级。近年来，我国开展生活圈规划建设以提升居民生活品质。下图为三个等级生活圈示意图。完成下面小题。</w:t>
      </w:r>
    </w:p>
    <w:p w14:paraId="6E8CF5AD">
      <w:pPr>
        <w:spacing w:line="360" w:lineRule="auto"/>
        <w:jc w:val="left"/>
        <w:textAlignment w:val="center"/>
        <w:rPr>
          <w:color w:val="000000"/>
        </w:rPr>
      </w:pPr>
      <w:r>
        <w:rPr>
          <w:color w:val="000000"/>
        </w:rPr>
        <w:drawing>
          <wp:inline distT="0" distB="0" distL="114300" distR="114300">
            <wp:extent cx="3695700" cy="2066925"/>
            <wp:effectExtent l="0" t="0" r="0" b="9525"/>
            <wp:docPr id="100017" name="图片 100017"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yF6xsjZ0Xzzp2W+Da2wOPw=="/>
                    <pic:cNvPicPr>
                      <a:picLocks noChangeAspect="1"/>
                    </pic:cNvPicPr>
                  </pic:nvPicPr>
                  <pic:blipFill>
                    <a:blip r:embed="rId20"/>
                    <a:stretch>
                      <a:fillRect/>
                    </a:stretch>
                  </pic:blipFill>
                  <pic:spPr>
                    <a:xfrm>
                      <a:off x="0" y="0"/>
                      <a:ext cx="3695700" cy="2066925"/>
                    </a:xfrm>
                    <a:prstGeom prst="rect">
                      <a:avLst/>
                    </a:prstGeom>
                  </pic:spPr>
                </pic:pic>
              </a:graphicData>
            </a:graphic>
          </wp:inline>
        </w:drawing>
      </w:r>
    </w:p>
    <w:p w14:paraId="7DB0FE27">
      <w:pPr>
        <w:spacing w:line="360" w:lineRule="auto"/>
        <w:jc w:val="left"/>
        <w:textAlignment w:val="center"/>
        <w:rPr>
          <w:color w:val="000000"/>
        </w:rPr>
      </w:pPr>
      <w:r>
        <w:rPr>
          <w:color w:val="000000"/>
        </w:rPr>
        <w:t xml:space="preserve">20. </w:t>
      </w:r>
      <w:r>
        <w:rPr>
          <w:rFonts w:ascii="宋体" w:hAnsi="宋体" w:eastAsia="宋体" w:cs="宋体"/>
          <w:color w:val="000000"/>
        </w:rPr>
        <w:t>生活圈等级越高（</w:t>
      </w:r>
      <w:r>
        <w:rPr>
          <w:rFonts w:ascii="Times New Roman" w:hAnsi="Times New Roman" w:eastAsia="Times New Roman" w:cs="Times New Roman"/>
          <w:color w:val="000000"/>
        </w:rPr>
        <w:t xml:space="preserve">   </w:t>
      </w:r>
      <w:r>
        <w:rPr>
          <w:rFonts w:ascii="宋体" w:hAnsi="宋体" w:eastAsia="宋体" w:cs="宋体"/>
          <w:color w:val="000000"/>
        </w:rPr>
        <w:t>）</w:t>
      </w:r>
    </w:p>
    <w:p w14:paraId="3B7584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服务设施的规模越小</w:t>
      </w:r>
      <w:r>
        <w:rPr>
          <w:color w:val="000000"/>
        </w:rPr>
        <w:tab/>
      </w:r>
      <w:r>
        <w:rPr>
          <w:color w:val="000000"/>
        </w:rPr>
        <w:t xml:space="preserve">B. </w:t>
      </w:r>
      <w:r>
        <w:rPr>
          <w:rFonts w:ascii="宋体" w:hAnsi="宋体" w:eastAsia="宋体" w:cs="宋体"/>
          <w:color w:val="000000"/>
        </w:rPr>
        <w:t>居民出行距离越长</w:t>
      </w:r>
    </w:p>
    <w:p w14:paraId="018F42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服务设施分布越均匀</w:t>
      </w:r>
      <w:r>
        <w:rPr>
          <w:color w:val="000000"/>
        </w:rPr>
        <w:tab/>
      </w:r>
      <w:r>
        <w:rPr>
          <w:color w:val="000000"/>
        </w:rPr>
        <w:t xml:space="preserve">D. </w:t>
      </w:r>
      <w:r>
        <w:rPr>
          <w:rFonts w:ascii="宋体" w:hAnsi="宋体" w:eastAsia="宋体" w:cs="宋体"/>
          <w:color w:val="000000"/>
        </w:rPr>
        <w:t>居民出行频率越高</w:t>
      </w:r>
    </w:p>
    <w:p w14:paraId="1625EAC3">
      <w:pPr>
        <w:spacing w:line="360" w:lineRule="auto"/>
        <w:jc w:val="left"/>
        <w:textAlignment w:val="center"/>
        <w:rPr>
          <w:color w:val="000000"/>
        </w:rPr>
      </w:pPr>
      <w:r>
        <w:rPr>
          <w:color w:val="000000"/>
        </w:rPr>
        <w:t xml:space="preserve">21. </w:t>
      </w:r>
      <w:r>
        <w:rPr>
          <w:rFonts w:ascii="宋体" w:hAnsi="宋体" w:eastAsia="宋体" w:cs="宋体"/>
          <w:color w:val="000000"/>
        </w:rPr>
        <w:t>不同等级生活圈建设，可以（</w:t>
      </w:r>
      <w:r>
        <w:rPr>
          <w:rFonts w:ascii="Times New Roman" w:hAnsi="Times New Roman" w:eastAsia="Times New Roman" w:cs="Times New Roman"/>
          <w:color w:val="000000"/>
        </w:rPr>
        <w:t xml:space="preserve">   </w:t>
      </w:r>
      <w:r>
        <w:rPr>
          <w:rFonts w:ascii="宋体" w:hAnsi="宋体" w:eastAsia="宋体" w:cs="宋体"/>
          <w:color w:val="000000"/>
        </w:rPr>
        <w:t>）</w:t>
      </w:r>
    </w:p>
    <w:p w14:paraId="3336D478">
      <w:pPr>
        <w:spacing w:line="360" w:lineRule="auto"/>
        <w:jc w:val="left"/>
        <w:textAlignment w:val="center"/>
        <w:rPr>
          <w:color w:val="000000"/>
        </w:rPr>
      </w:pPr>
      <w:r>
        <w:rPr>
          <w:rFonts w:ascii="宋体" w:hAnsi="宋体" w:eastAsia="宋体" w:cs="宋体"/>
          <w:color w:val="000000"/>
        </w:rPr>
        <w:t>①促进城市功能分区②提高</w:t>
      </w:r>
      <w:r>
        <w:rPr>
          <w:rFonts w:ascii="Times New Roman" w:hAnsi="Times New Roman" w:eastAsia="Times New Roman" w:cs="Times New Roman"/>
          <w:color w:val="000000"/>
        </w:rPr>
        <w:t>15</w:t>
      </w:r>
      <w:r>
        <w:rPr>
          <w:rFonts w:ascii="宋体" w:hAnsi="宋体" w:eastAsia="宋体" w:cs="宋体"/>
          <w:color w:val="000000"/>
        </w:rPr>
        <w:t>分钟生活圈服务设施等级</w:t>
      </w:r>
    </w:p>
    <w:p w14:paraId="3D5CF8D7">
      <w:pPr>
        <w:spacing w:line="360" w:lineRule="auto"/>
        <w:jc w:val="left"/>
        <w:textAlignment w:val="center"/>
        <w:rPr>
          <w:color w:val="000000"/>
        </w:rPr>
      </w:pPr>
      <w:r>
        <w:rPr>
          <w:rFonts w:ascii="宋体" w:hAnsi="宋体" w:eastAsia="宋体" w:cs="宋体"/>
          <w:color w:val="000000"/>
        </w:rPr>
        <w:t>③缓解城市交通拥堵④减轻</w:t>
      </w:r>
      <w:r>
        <w:rPr>
          <w:rFonts w:ascii="Times New Roman" w:hAnsi="Times New Roman" w:eastAsia="Times New Roman" w:cs="Times New Roman"/>
          <w:color w:val="000000"/>
        </w:rPr>
        <w:t>60</w:t>
      </w:r>
      <w:r>
        <w:rPr>
          <w:rFonts w:ascii="宋体" w:hAnsi="宋体" w:eastAsia="宋体" w:cs="宋体"/>
          <w:color w:val="000000"/>
        </w:rPr>
        <w:t>分钟生活圈服务设施压力</w:t>
      </w:r>
    </w:p>
    <w:p w14:paraId="247D6F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29908CC">
      <w:pPr>
        <w:spacing w:line="360" w:lineRule="auto"/>
        <w:ind w:firstLine="420"/>
        <w:jc w:val="left"/>
        <w:textAlignment w:val="center"/>
        <w:rPr>
          <w:color w:val="000000"/>
        </w:rPr>
      </w:pPr>
      <w:r>
        <w:rPr>
          <w:rFonts w:ascii="楷体" w:hAnsi="楷体" w:eastAsia="楷体" w:cs="楷体"/>
          <w:color w:val="000000"/>
        </w:rPr>
        <w:t>下图为北半球某地某时刻海平面等压线图（单位</w:t>
      </w:r>
      <w:r>
        <w:rPr>
          <w:rFonts w:ascii="Times New Roman" w:hAnsi="Times New Roman" w:eastAsia="Times New Roman" w:cs="Times New Roman"/>
          <w:color w:val="000000"/>
        </w:rPr>
        <w:t>hPa</w:t>
      </w:r>
      <w:r>
        <w:rPr>
          <w:rFonts w:ascii="楷体" w:hAnsi="楷体" w:eastAsia="楷体" w:cs="楷体"/>
          <w:color w:val="000000"/>
        </w:rPr>
        <w:t>）。完成下面小题。</w:t>
      </w:r>
    </w:p>
    <w:p w14:paraId="0B192924">
      <w:pPr>
        <w:spacing w:line="360" w:lineRule="auto"/>
        <w:jc w:val="left"/>
        <w:textAlignment w:val="center"/>
        <w:rPr>
          <w:color w:val="000000"/>
        </w:rPr>
      </w:pPr>
      <w:r>
        <w:rPr>
          <w:color w:val="000000"/>
        </w:rPr>
        <w:drawing>
          <wp:inline distT="0" distB="0" distL="114300" distR="114300">
            <wp:extent cx="3714750" cy="1714500"/>
            <wp:effectExtent l="0" t="0" r="0" b="0"/>
            <wp:docPr id="100019" name="图片 100019"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yF6xsjZ0Xzzp2W+Da2wOPw=="/>
                    <pic:cNvPicPr>
                      <a:picLocks noChangeAspect="1"/>
                    </pic:cNvPicPr>
                  </pic:nvPicPr>
                  <pic:blipFill>
                    <a:blip r:embed="rId21"/>
                    <a:stretch>
                      <a:fillRect/>
                    </a:stretch>
                  </pic:blipFill>
                  <pic:spPr>
                    <a:xfrm>
                      <a:off x="0" y="0"/>
                      <a:ext cx="3714750" cy="1714500"/>
                    </a:xfrm>
                    <a:prstGeom prst="rect">
                      <a:avLst/>
                    </a:prstGeom>
                  </pic:spPr>
                </pic:pic>
              </a:graphicData>
            </a:graphic>
          </wp:inline>
        </w:drawing>
      </w:r>
    </w:p>
    <w:p w14:paraId="0F794D70">
      <w:pPr>
        <w:spacing w:line="360" w:lineRule="auto"/>
        <w:jc w:val="left"/>
        <w:textAlignment w:val="center"/>
        <w:rPr>
          <w:color w:val="000000"/>
        </w:rPr>
      </w:pPr>
      <w:r>
        <w:rPr>
          <w:color w:val="000000"/>
        </w:rPr>
        <w:t xml:space="preserve">22. </w:t>
      </w:r>
      <w:r>
        <w:rPr>
          <w:rFonts w:ascii="宋体" w:hAnsi="宋体" w:eastAsia="宋体" w:cs="宋体"/>
          <w:color w:val="000000"/>
        </w:rPr>
        <w:t>图中等压距和</w:t>
      </w:r>
      <w:r>
        <w:rPr>
          <w:rFonts w:ascii="Times New Roman" w:hAnsi="Times New Roman" w:eastAsia="Times New Roman" w:cs="Times New Roman"/>
          <w:color w:val="000000"/>
        </w:rPr>
        <w:t>P</w:t>
      </w:r>
      <w:r>
        <w:rPr>
          <w:rFonts w:ascii="宋体" w:hAnsi="宋体" w:eastAsia="宋体" w:cs="宋体"/>
          <w:color w:val="000000"/>
        </w:rPr>
        <w:t>地气压值（单位</w:t>
      </w:r>
      <w:r>
        <w:rPr>
          <w:rFonts w:ascii="Times New Roman" w:hAnsi="Times New Roman" w:eastAsia="Times New Roman" w:cs="Times New Roman"/>
          <w:color w:val="000000"/>
        </w:rPr>
        <w:t>hPa</w:t>
      </w:r>
      <w:r>
        <w:rPr>
          <w:rFonts w:ascii="宋体" w:hAnsi="宋体" w:eastAsia="宋体" w:cs="宋体"/>
          <w:color w:val="000000"/>
        </w:rPr>
        <w:t>）可能是（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5966DF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1012</w:t>
      </w:r>
      <w:r>
        <w:rPr>
          <w:color w:val="000000"/>
        </w:rPr>
        <w:tab/>
      </w:r>
      <w:r>
        <w:rPr>
          <w:color w:val="000000"/>
        </w:rPr>
        <w:t xml:space="preserve">B.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1008</w:t>
      </w:r>
      <w:r>
        <w:rPr>
          <w:color w:val="000000"/>
        </w:rPr>
        <w:tab/>
      </w:r>
      <w:r>
        <w:rPr>
          <w:color w:val="000000"/>
        </w:rPr>
        <w:t xml:space="preserve">C. </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1027</w:t>
      </w:r>
      <w:r>
        <w:rPr>
          <w:color w:val="000000"/>
        </w:rPr>
        <w:tab/>
      </w:r>
      <w:r>
        <w:rPr>
          <w:color w:val="000000"/>
        </w:rPr>
        <w:t xml:space="preserve">D.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1030</w:t>
      </w:r>
    </w:p>
    <w:p w14:paraId="6563A72A">
      <w:pPr>
        <w:spacing w:line="360" w:lineRule="auto"/>
        <w:jc w:val="left"/>
        <w:textAlignment w:val="center"/>
        <w:rPr>
          <w:color w:val="000000"/>
        </w:rPr>
      </w:pPr>
      <w:r>
        <w:rPr>
          <w:color w:val="000000"/>
        </w:rPr>
        <w:t xml:space="preserve">23. </w:t>
      </w:r>
      <w:r>
        <w:rPr>
          <w:rFonts w:ascii="宋体" w:hAnsi="宋体" w:eastAsia="宋体" w:cs="宋体"/>
          <w:color w:val="000000"/>
        </w:rPr>
        <w:t>甲、乙、丙、丁四地气象要素的垂直变化，可能出现的是（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02C99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676400"/>
            <wp:effectExtent l="0" t="0" r="0" b="0"/>
            <wp:docPr id="100021" name="图片 100021"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yF6xsjZ0Xzzp2W+Da2wOPw=="/>
                    <pic:cNvPicPr>
                      <a:picLocks noChangeAspect="1"/>
                    </pic:cNvPicPr>
                  </pic:nvPicPr>
                  <pic:blipFill>
                    <a:blip r:embed="rId22"/>
                    <a:stretch>
                      <a:fillRect/>
                    </a:stretch>
                  </pic:blipFill>
                  <pic:spPr>
                    <a:xfrm>
                      <a:off x="0" y="0"/>
                      <a:ext cx="1066800" cy="1676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90625" cy="1543050"/>
            <wp:effectExtent l="0" t="0" r="9525" b="0"/>
            <wp:docPr id="100023" name="图片 100023"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yF6xsjZ0Xzzp2W+Da2wOPw=="/>
                    <pic:cNvPicPr>
                      <a:picLocks noChangeAspect="1"/>
                    </pic:cNvPicPr>
                  </pic:nvPicPr>
                  <pic:blipFill>
                    <a:blip r:embed="rId23"/>
                    <a:stretch>
                      <a:fillRect/>
                    </a:stretch>
                  </pic:blipFill>
                  <pic:spPr>
                    <a:xfrm>
                      <a:off x="0" y="0"/>
                      <a:ext cx="1190625" cy="1543050"/>
                    </a:xfrm>
                    <a:prstGeom prst="rect">
                      <a:avLst/>
                    </a:prstGeom>
                  </pic:spPr>
                </pic:pic>
              </a:graphicData>
            </a:graphic>
          </wp:inline>
        </w:drawing>
      </w:r>
    </w:p>
    <w:p w14:paraId="76568BF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66825" cy="1647825"/>
            <wp:effectExtent l="0" t="0" r="9525" b="9525"/>
            <wp:docPr id="100025" name="图片 100025"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yF6xsjZ0Xzzp2W+Da2wOPw=="/>
                    <pic:cNvPicPr>
                      <a:picLocks noChangeAspect="1"/>
                    </pic:cNvPicPr>
                  </pic:nvPicPr>
                  <pic:blipFill>
                    <a:blip r:embed="rId24"/>
                    <a:stretch>
                      <a:fillRect/>
                    </a:stretch>
                  </pic:blipFill>
                  <pic:spPr>
                    <a:xfrm>
                      <a:off x="0" y="0"/>
                      <a:ext cx="1266825" cy="1647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38250" cy="1609725"/>
            <wp:effectExtent l="0" t="0" r="0" b="9525"/>
            <wp:docPr id="100027" name="图片 100027"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yF6xsjZ0Xzzp2W+Da2wOPw=="/>
                    <pic:cNvPicPr>
                      <a:picLocks noChangeAspect="1"/>
                    </pic:cNvPicPr>
                  </pic:nvPicPr>
                  <pic:blipFill>
                    <a:blip r:embed="rId25"/>
                    <a:stretch>
                      <a:fillRect/>
                    </a:stretch>
                  </pic:blipFill>
                  <pic:spPr>
                    <a:xfrm>
                      <a:off x="0" y="0"/>
                      <a:ext cx="1238250" cy="1609725"/>
                    </a:xfrm>
                    <a:prstGeom prst="rect">
                      <a:avLst/>
                    </a:prstGeom>
                  </pic:spPr>
                </pic:pic>
              </a:graphicData>
            </a:graphic>
          </wp:inline>
        </w:drawing>
      </w:r>
    </w:p>
    <w:p w14:paraId="1EE85A01">
      <w:pPr>
        <w:spacing w:line="360" w:lineRule="auto"/>
        <w:ind w:firstLine="420"/>
        <w:jc w:val="left"/>
        <w:textAlignment w:val="center"/>
        <w:rPr>
          <w:color w:val="000000"/>
        </w:rPr>
      </w:pPr>
      <w:r>
        <w:rPr>
          <w:rFonts w:ascii="楷体" w:hAnsi="楷体" w:eastAsia="楷体" w:cs="楷体"/>
          <w:color w:val="000000"/>
        </w:rPr>
        <w:t>甲、乙两地天文爱好者进行太阳高度观测。具体做法：在平坦地面上方水平放置一块有一个小孔的遮光板，太阳光透过小孔投影到地面上，形成较清晰的太阳投影。下图为两地天文爱好者在两分、两至日正午时刻，在同高度用相同遮光板观测到的太阳影像地面投影。完成下面小题。</w:t>
      </w:r>
    </w:p>
    <w:p w14:paraId="3F839491">
      <w:pPr>
        <w:spacing w:line="360" w:lineRule="auto"/>
        <w:jc w:val="left"/>
        <w:textAlignment w:val="center"/>
        <w:rPr>
          <w:color w:val="000000"/>
        </w:rPr>
      </w:pPr>
      <w:r>
        <w:rPr>
          <w:color w:val="000000"/>
        </w:rPr>
        <w:drawing>
          <wp:inline distT="0" distB="0" distL="114300" distR="114300">
            <wp:extent cx="3124200" cy="2085975"/>
            <wp:effectExtent l="0" t="0" r="0" b="9525"/>
            <wp:docPr id="100029" name="图片 100029"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yF6xsjZ0Xzzp2W+Da2wOPw=="/>
                    <pic:cNvPicPr>
                      <a:picLocks noChangeAspect="1"/>
                    </pic:cNvPicPr>
                  </pic:nvPicPr>
                  <pic:blipFill>
                    <a:blip r:embed="rId26"/>
                    <a:stretch>
                      <a:fillRect/>
                    </a:stretch>
                  </pic:blipFill>
                  <pic:spPr>
                    <a:xfrm>
                      <a:off x="0" y="0"/>
                      <a:ext cx="3124200" cy="2085975"/>
                    </a:xfrm>
                    <a:prstGeom prst="rect">
                      <a:avLst/>
                    </a:prstGeom>
                  </pic:spPr>
                </pic:pic>
              </a:graphicData>
            </a:graphic>
          </wp:inline>
        </w:drawing>
      </w:r>
    </w:p>
    <w:p w14:paraId="4202A574">
      <w:pPr>
        <w:spacing w:line="360" w:lineRule="auto"/>
        <w:jc w:val="left"/>
        <w:textAlignment w:val="center"/>
        <w:rPr>
          <w:color w:val="000000"/>
        </w:rPr>
      </w:pPr>
      <w:r>
        <w:rPr>
          <w:color w:val="000000"/>
        </w:rPr>
        <w:t xml:space="preserve">24. </w:t>
      </w:r>
      <w:r>
        <w:rPr>
          <w:rFonts w:ascii="宋体" w:hAnsi="宋体" w:eastAsia="宋体" w:cs="宋体"/>
          <w:color w:val="000000"/>
        </w:rPr>
        <w:t>若冬至日，甲、乙两地日落时世界时相同，则甲位于乙的（</w:t>
      </w:r>
      <w:r>
        <w:rPr>
          <w:rFonts w:ascii="Times New Roman" w:hAnsi="Times New Roman" w:eastAsia="Times New Roman" w:cs="Times New Roman"/>
          <w:color w:val="000000"/>
        </w:rPr>
        <w:t xml:space="preserve">   </w:t>
      </w:r>
      <w:r>
        <w:rPr>
          <w:rFonts w:ascii="宋体" w:hAnsi="宋体" w:eastAsia="宋体" w:cs="宋体"/>
          <w:color w:val="000000"/>
        </w:rPr>
        <w:t>）</w:t>
      </w:r>
    </w:p>
    <w:p w14:paraId="779650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东南</w:t>
      </w:r>
      <w:r>
        <w:rPr>
          <w:color w:val="000000"/>
        </w:rPr>
        <w:tab/>
      </w:r>
      <w:r>
        <w:rPr>
          <w:color w:val="000000"/>
        </w:rPr>
        <w:t xml:space="preserve">B. </w:t>
      </w:r>
      <w:r>
        <w:rPr>
          <w:rFonts w:ascii="宋体" w:hAnsi="宋体" w:eastAsia="宋体" w:cs="宋体"/>
          <w:color w:val="000000"/>
        </w:rPr>
        <w:t>东北</w:t>
      </w:r>
      <w:r>
        <w:rPr>
          <w:color w:val="000000"/>
        </w:rPr>
        <w:tab/>
      </w:r>
      <w:r>
        <w:rPr>
          <w:color w:val="000000"/>
        </w:rPr>
        <w:t xml:space="preserve">C. </w:t>
      </w:r>
      <w:r>
        <w:rPr>
          <w:rFonts w:ascii="宋体" w:hAnsi="宋体" w:eastAsia="宋体" w:cs="宋体"/>
          <w:color w:val="000000"/>
        </w:rPr>
        <w:t>西北</w:t>
      </w:r>
      <w:r>
        <w:rPr>
          <w:color w:val="000000"/>
        </w:rPr>
        <w:tab/>
      </w:r>
      <w:r>
        <w:rPr>
          <w:color w:val="000000"/>
        </w:rPr>
        <w:t xml:space="preserve">D. </w:t>
      </w:r>
      <w:r>
        <w:rPr>
          <w:rFonts w:ascii="宋体" w:hAnsi="宋体" w:eastAsia="宋体" w:cs="宋体"/>
          <w:color w:val="000000"/>
        </w:rPr>
        <w:t>西南</w:t>
      </w:r>
    </w:p>
    <w:p w14:paraId="03DBA842">
      <w:pPr>
        <w:spacing w:line="360" w:lineRule="auto"/>
        <w:jc w:val="left"/>
        <w:textAlignment w:val="center"/>
        <w:rPr>
          <w:color w:val="000000"/>
        </w:rPr>
      </w:pPr>
      <w:r>
        <w:rPr>
          <w:color w:val="000000"/>
        </w:rPr>
        <w:t xml:space="preserve">25. </w:t>
      </w:r>
      <w:r>
        <w:rPr>
          <w:rFonts w:ascii="宋体" w:hAnsi="宋体" w:eastAsia="宋体" w:cs="宋体"/>
          <w:color w:val="000000"/>
        </w:rPr>
        <w:t>两地正午太阳高度之差（</w:t>
      </w:r>
      <w:r>
        <w:rPr>
          <w:rFonts w:ascii="Cambria Math" w:hAnsi="Cambria Math" w:eastAsia="Cambria Math" w:cs="Cambria Math"/>
          <w:color w:val="000000"/>
        </w:rPr>
        <w:t>△</w:t>
      </w:r>
      <w:r>
        <w:rPr>
          <w:rFonts w:ascii="Times New Roman" w:hAnsi="Times New Roman" w:eastAsia="Times New Roman" w:cs="Times New Roman"/>
          <w:color w:val="000000"/>
        </w:rPr>
        <w:t>h</w:t>
      </w:r>
      <w:r>
        <w:rPr>
          <w:rFonts w:ascii="宋体" w:hAnsi="宋体" w:eastAsia="宋体" w:cs="宋体"/>
          <w:color w:val="000000"/>
        </w:rPr>
        <w:t>）年变化有可能的是（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9CA38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028825" cy="1143000"/>
            <wp:effectExtent l="0" t="0" r="9525" b="0"/>
            <wp:docPr id="100031" name="图片 100031"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yF6xsjZ0Xzzp2W+Da2wOPw=="/>
                    <pic:cNvPicPr>
                      <a:picLocks noChangeAspect="1"/>
                    </pic:cNvPicPr>
                  </pic:nvPicPr>
                  <pic:blipFill>
                    <a:blip r:embed="rId27"/>
                    <a:stretch>
                      <a:fillRect/>
                    </a:stretch>
                  </pic:blipFill>
                  <pic:spPr>
                    <a:xfrm>
                      <a:off x="0" y="0"/>
                      <a:ext cx="2028825" cy="1143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2066925" cy="1162050"/>
            <wp:effectExtent l="0" t="0" r="9525" b="0"/>
            <wp:docPr id="100033" name="图片 100033"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yF6xsjZ0Xzzp2W+Da2wOPw=="/>
                    <pic:cNvPicPr>
                      <a:picLocks noChangeAspect="1"/>
                    </pic:cNvPicPr>
                  </pic:nvPicPr>
                  <pic:blipFill>
                    <a:blip r:embed="rId28"/>
                    <a:stretch>
                      <a:fillRect/>
                    </a:stretch>
                  </pic:blipFill>
                  <pic:spPr>
                    <a:xfrm>
                      <a:off x="0" y="0"/>
                      <a:ext cx="2066925" cy="1162050"/>
                    </a:xfrm>
                    <a:prstGeom prst="rect">
                      <a:avLst/>
                    </a:prstGeom>
                  </pic:spPr>
                </pic:pic>
              </a:graphicData>
            </a:graphic>
          </wp:inline>
        </w:drawing>
      </w:r>
    </w:p>
    <w:p w14:paraId="3FED56E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09775" cy="1123950"/>
            <wp:effectExtent l="0" t="0" r="9525" b="0"/>
            <wp:docPr id="100035" name="图片 100035"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yF6xsjZ0Xzzp2W+Da2wOPw=="/>
                    <pic:cNvPicPr>
                      <a:picLocks noChangeAspect="1"/>
                    </pic:cNvPicPr>
                  </pic:nvPicPr>
                  <pic:blipFill>
                    <a:blip r:embed="rId29"/>
                    <a:stretch>
                      <a:fillRect/>
                    </a:stretch>
                  </pic:blipFill>
                  <pic:spPr>
                    <a:xfrm>
                      <a:off x="0" y="0"/>
                      <a:ext cx="2009775" cy="1123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047875" cy="1200150"/>
            <wp:effectExtent l="0" t="0" r="9525" b="0"/>
            <wp:docPr id="675201542" name="图片 675201542"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01542" name="图片 675201542" descr="学科网(www.zxxk.com)--教育资源门户，提供试卷、教案、课件、论文、素材以及各类教学资源下载，还有大量而丰富的教学相关资讯！ yF6xsjZ0Xzzp2W+Da2wOPw=="/>
                    <pic:cNvPicPr>
                      <a:picLocks noChangeAspect="1"/>
                    </pic:cNvPicPr>
                  </pic:nvPicPr>
                  <pic:blipFill>
                    <a:blip r:embed="rId30"/>
                    <a:stretch>
                      <a:fillRect/>
                    </a:stretch>
                  </pic:blipFill>
                  <pic:spPr>
                    <a:xfrm>
                      <a:off x="0" y="0"/>
                      <a:ext cx="2047875" cy="1200150"/>
                    </a:xfrm>
                    <a:prstGeom prst="rect">
                      <a:avLst/>
                    </a:prstGeom>
                  </pic:spPr>
                </pic:pic>
              </a:graphicData>
            </a:graphic>
          </wp:inline>
        </w:drawing>
      </w:r>
    </w:p>
    <w:p w14:paraId="09EE75CF">
      <w:pPr>
        <w:spacing w:line="360" w:lineRule="auto"/>
        <w:jc w:val="center"/>
        <w:textAlignment w:val="center"/>
        <w:rPr>
          <w:color w:val="000000"/>
        </w:rPr>
      </w:pPr>
      <w:r>
        <w:rPr>
          <w:rFonts w:ascii="宋体" w:hAnsi="宋体" w:eastAsia="宋体" w:cs="宋体"/>
          <w:b/>
          <w:color w:val="000000"/>
          <w:sz w:val="24"/>
        </w:rPr>
        <w:t>非选择题部分</w:t>
      </w:r>
    </w:p>
    <w:p w14:paraId="3C656D04">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EDD15B8">
      <w:pPr>
        <w:spacing w:line="360" w:lineRule="auto"/>
        <w:jc w:val="left"/>
        <w:textAlignment w:val="center"/>
        <w:rPr>
          <w:color w:val="000000"/>
        </w:rPr>
      </w:pPr>
      <w:r>
        <w:rPr>
          <w:color w:val="000000"/>
        </w:rPr>
        <w:t xml:space="preserve">26. </w:t>
      </w:r>
      <w:r>
        <w:rPr>
          <w:rFonts w:ascii="宋体" w:hAnsi="宋体" w:eastAsia="宋体" w:cs="宋体"/>
          <w:color w:val="000000"/>
        </w:rPr>
        <w:t>阅读材料，完成下列问题。</w:t>
      </w:r>
    </w:p>
    <w:p w14:paraId="0F26D989">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60~70</w:t>
      </w:r>
      <w:r>
        <w:rPr>
          <w:rFonts w:ascii="楷体" w:hAnsi="楷体" w:eastAsia="楷体" w:cs="楷体"/>
          <w:color w:val="000000"/>
        </w:rPr>
        <w:t>年代，巴西经济快速发展，建立起较为完整的工业体系，成为拉美地区最大的中等收入国家。</w:t>
      </w:r>
      <w:r>
        <w:rPr>
          <w:rFonts w:ascii="Times New Roman" w:hAnsi="Times New Roman" w:eastAsia="Times New Roman" w:cs="Times New Roman"/>
          <w:color w:val="000000"/>
        </w:rPr>
        <w:t>90</w:t>
      </w:r>
      <w:r>
        <w:rPr>
          <w:rFonts w:ascii="楷体" w:hAnsi="楷体" w:eastAsia="楷体" w:cs="楷体"/>
          <w:color w:val="000000"/>
        </w:rPr>
        <w:t>年代以来，巴西转向外向型经济发展模式，因竞争力不足，工业在</w:t>
      </w:r>
      <w:r>
        <w:rPr>
          <w:rFonts w:ascii="Times New Roman" w:hAnsi="Times New Roman" w:eastAsia="Times New Roman" w:cs="Times New Roman"/>
          <w:color w:val="000000"/>
        </w:rPr>
        <w:t>GDP</w:t>
      </w:r>
      <w:r>
        <w:rPr>
          <w:rFonts w:ascii="楷体" w:hAnsi="楷体" w:eastAsia="楷体" w:cs="楷体"/>
          <w:color w:val="000000"/>
        </w:rPr>
        <w:t>中的比重下降，出现</w:t>
      </w:r>
      <w:r>
        <w:rPr>
          <w:rFonts w:ascii="Times New Roman" w:hAnsi="Times New Roman" w:eastAsia="Times New Roman" w:cs="Times New Roman"/>
          <w:color w:val="000000"/>
        </w:rPr>
        <w:t>“</w:t>
      </w:r>
      <w:r>
        <w:rPr>
          <w:rFonts w:ascii="楷体" w:hAnsi="楷体" w:eastAsia="楷体" w:cs="楷体"/>
          <w:color w:val="000000"/>
        </w:rPr>
        <w:t>去工业化</w:t>
      </w:r>
      <w:r>
        <w:rPr>
          <w:rFonts w:ascii="Times New Roman" w:hAnsi="Times New Roman" w:eastAsia="Times New Roman" w:cs="Times New Roman"/>
          <w:color w:val="000000"/>
        </w:rPr>
        <w:t>”</w:t>
      </w:r>
      <w:r>
        <w:rPr>
          <w:rFonts w:ascii="楷体" w:hAnsi="楷体" w:eastAsia="楷体" w:cs="楷体"/>
          <w:color w:val="000000"/>
        </w:rPr>
        <w:t>趋势，政府负债居高不下。</w:t>
      </w:r>
    </w:p>
    <w:p w14:paraId="139C25E2">
      <w:pPr>
        <w:spacing w:line="360" w:lineRule="auto"/>
        <w:ind w:firstLine="420"/>
        <w:jc w:val="left"/>
        <w:textAlignment w:val="center"/>
        <w:rPr>
          <w:color w:val="000000"/>
        </w:rPr>
      </w:pPr>
      <w:r>
        <w:rPr>
          <w:rFonts w:ascii="楷体" w:hAnsi="楷体" w:eastAsia="楷体" w:cs="楷体"/>
          <w:color w:val="000000"/>
        </w:rPr>
        <w:t>材料二：巴西总人口约</w:t>
      </w:r>
      <w:r>
        <w:rPr>
          <w:rFonts w:ascii="Times New Roman" w:hAnsi="Times New Roman" w:eastAsia="Times New Roman" w:cs="Times New Roman"/>
          <w:color w:val="000000"/>
        </w:rPr>
        <w:t>2</w:t>
      </w:r>
      <w:r>
        <w:rPr>
          <w:rFonts w:ascii="楷体" w:hAnsi="楷体" w:eastAsia="楷体" w:cs="楷体"/>
          <w:color w:val="000000"/>
        </w:rPr>
        <w:t>亿，农业用地约</w:t>
      </w:r>
      <w:r>
        <w:rPr>
          <w:rFonts w:ascii="Times New Roman" w:hAnsi="Times New Roman" w:eastAsia="Times New Roman" w:cs="Times New Roman"/>
          <w:color w:val="000000"/>
        </w:rPr>
        <w:t>2.4</w:t>
      </w:r>
      <w:r>
        <w:rPr>
          <w:rFonts w:ascii="楷体" w:hAnsi="楷体" w:eastAsia="楷体" w:cs="楷体"/>
          <w:color w:val="000000"/>
        </w:rPr>
        <w:t>亿公顷，农业和采矿业发展较快，是全球农矿产品出口大国。几十年来，巴西城镇化水平持续上升，</w:t>
      </w:r>
      <w:r>
        <w:rPr>
          <w:rFonts w:ascii="Times New Roman" w:hAnsi="Times New Roman" w:eastAsia="Times New Roman" w:cs="Times New Roman"/>
          <w:color w:val="000000"/>
        </w:rPr>
        <w:t>2022</w:t>
      </w:r>
      <w:r>
        <w:rPr>
          <w:rFonts w:ascii="楷体" w:hAnsi="楷体" w:eastAsia="楷体" w:cs="楷体"/>
          <w:color w:val="000000"/>
        </w:rPr>
        <w:t>年达</w:t>
      </w:r>
      <w:r>
        <w:rPr>
          <w:rFonts w:ascii="Times New Roman" w:hAnsi="Times New Roman" w:eastAsia="Times New Roman" w:cs="Times New Roman"/>
          <w:color w:val="000000"/>
        </w:rPr>
        <w:t>87.6%</w:t>
      </w:r>
      <w:r>
        <w:rPr>
          <w:rFonts w:ascii="楷体" w:hAnsi="楷体" w:eastAsia="楷体" w:cs="楷体"/>
          <w:color w:val="000000"/>
        </w:rPr>
        <w:t>，</w:t>
      </w:r>
      <w:r>
        <w:rPr>
          <w:rFonts w:ascii="Times New Roman" w:hAnsi="Times New Roman" w:eastAsia="Times New Roman" w:cs="Times New Roman"/>
          <w:color w:val="000000"/>
        </w:rPr>
        <w:t>“</w:t>
      </w:r>
      <w:r>
        <w:rPr>
          <w:rFonts w:ascii="楷体" w:hAnsi="楷体" w:eastAsia="楷体" w:cs="楷体"/>
          <w:color w:val="000000"/>
        </w:rPr>
        <w:t>虚假城镇化</w:t>
      </w:r>
      <w:r>
        <w:rPr>
          <w:rFonts w:ascii="Times New Roman" w:hAnsi="Times New Roman" w:eastAsia="Times New Roman" w:cs="Times New Roman"/>
          <w:color w:val="000000"/>
        </w:rPr>
        <w:t>”</w:t>
      </w:r>
      <w:r>
        <w:rPr>
          <w:rFonts w:ascii="楷体" w:hAnsi="楷体" w:eastAsia="楷体" w:cs="楷体"/>
          <w:color w:val="000000"/>
        </w:rPr>
        <w:t>和</w:t>
      </w:r>
      <w:r>
        <w:rPr>
          <w:rFonts w:ascii="Times New Roman" w:hAnsi="Times New Roman" w:eastAsia="Times New Roman" w:cs="Times New Roman"/>
          <w:color w:val="000000"/>
        </w:rPr>
        <w:t>“</w:t>
      </w:r>
      <w:r>
        <w:rPr>
          <w:rFonts w:ascii="楷体" w:hAnsi="楷体" w:eastAsia="楷体" w:cs="楷体"/>
          <w:color w:val="000000"/>
        </w:rPr>
        <w:t>城镇贫困</w:t>
      </w:r>
      <w:r>
        <w:rPr>
          <w:rFonts w:ascii="Times New Roman" w:hAnsi="Times New Roman" w:eastAsia="Times New Roman" w:cs="Times New Roman"/>
          <w:color w:val="000000"/>
        </w:rPr>
        <w:t>”</w:t>
      </w:r>
      <w:r>
        <w:rPr>
          <w:rFonts w:ascii="楷体" w:hAnsi="楷体" w:eastAsia="楷体" w:cs="楷体"/>
          <w:color w:val="000000"/>
        </w:rPr>
        <w:t>问题突出。图</w:t>
      </w:r>
      <w:r>
        <w:rPr>
          <w:rFonts w:ascii="Times New Roman" w:hAnsi="Times New Roman" w:eastAsia="Times New Roman" w:cs="Times New Roman"/>
          <w:color w:val="000000"/>
        </w:rPr>
        <w:t>1</w:t>
      </w:r>
      <w:r>
        <w:rPr>
          <w:rFonts w:ascii="楷体" w:hAnsi="楷体" w:eastAsia="楷体" w:cs="楷体"/>
          <w:color w:val="000000"/>
        </w:rPr>
        <w:t>为巴西略图。图</w:t>
      </w:r>
      <w:r>
        <w:rPr>
          <w:rFonts w:ascii="Times New Roman" w:hAnsi="Times New Roman" w:eastAsia="Times New Roman" w:cs="Times New Roman"/>
          <w:color w:val="000000"/>
        </w:rPr>
        <w:t>2</w:t>
      </w:r>
      <w:r>
        <w:rPr>
          <w:rFonts w:ascii="楷体" w:hAnsi="楷体" w:eastAsia="楷体" w:cs="楷体"/>
          <w:color w:val="000000"/>
        </w:rPr>
        <w:t>为</w:t>
      </w:r>
      <w:r>
        <w:rPr>
          <w:rFonts w:ascii="Times New Roman" w:hAnsi="Times New Roman" w:eastAsia="Times New Roman" w:cs="Times New Roman"/>
          <w:color w:val="000000"/>
        </w:rPr>
        <w:t>2004~2022</w:t>
      </w:r>
      <w:r>
        <w:rPr>
          <w:rFonts w:ascii="楷体" w:hAnsi="楷体" w:eastAsia="楷体" w:cs="楷体"/>
          <w:color w:val="000000"/>
        </w:rPr>
        <w:t>年巴西农业劳动力和农业产值统计图。</w:t>
      </w:r>
    </w:p>
    <w:p w14:paraId="08529651">
      <w:pPr>
        <w:spacing w:line="360" w:lineRule="auto"/>
        <w:jc w:val="left"/>
        <w:textAlignment w:val="center"/>
        <w:rPr>
          <w:color w:val="000000"/>
        </w:rPr>
      </w:pPr>
      <w:r>
        <w:rPr>
          <w:color w:val="000000"/>
        </w:rPr>
        <w:drawing>
          <wp:inline distT="0" distB="0" distL="114300" distR="114300">
            <wp:extent cx="4514850" cy="2486025"/>
            <wp:effectExtent l="0" t="0" r="0" b="9525"/>
            <wp:docPr id="100039" name="图片 100039"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yF6xsjZ0Xzzp2W+Da2wOPw=="/>
                    <pic:cNvPicPr>
                      <a:picLocks noChangeAspect="1"/>
                    </pic:cNvPicPr>
                  </pic:nvPicPr>
                  <pic:blipFill>
                    <a:blip r:embed="rId31"/>
                    <a:stretch>
                      <a:fillRect/>
                    </a:stretch>
                  </pic:blipFill>
                  <pic:spPr>
                    <a:xfrm>
                      <a:off x="0" y="0"/>
                      <a:ext cx="4514850" cy="2486025"/>
                    </a:xfrm>
                    <a:prstGeom prst="rect">
                      <a:avLst/>
                    </a:prstGeom>
                  </pic:spPr>
                </pic:pic>
              </a:graphicData>
            </a:graphic>
          </wp:inline>
        </w:drawing>
      </w:r>
    </w:p>
    <w:p w14:paraId="5EAB9D0F">
      <w:pPr>
        <w:spacing w:line="360" w:lineRule="auto"/>
        <w:jc w:val="left"/>
        <w:textAlignment w:val="center"/>
        <w:rPr>
          <w:color w:val="000000"/>
        </w:rPr>
      </w:pPr>
      <w:r>
        <w:rPr>
          <w:color w:val="000000"/>
        </w:rPr>
        <w:t>（1）</w:t>
      </w:r>
      <w:r>
        <w:rPr>
          <w:rFonts w:ascii="宋体" w:hAnsi="宋体" w:eastAsia="宋体" w:cs="宋体"/>
          <w:color w:val="000000"/>
        </w:rPr>
        <w:t>内河水运在巴西国内货物运输中占比较低，简述其原因。</w:t>
      </w:r>
    </w:p>
    <w:p w14:paraId="7F95B424">
      <w:pPr>
        <w:spacing w:line="360" w:lineRule="auto"/>
        <w:jc w:val="left"/>
        <w:textAlignment w:val="center"/>
        <w:rPr>
          <w:color w:val="000000"/>
        </w:rPr>
      </w:pPr>
      <w:r>
        <w:rPr>
          <w:color w:val="000000"/>
        </w:rPr>
        <w:t>（2）</w:t>
      </w:r>
      <w:r>
        <w:rPr>
          <w:rFonts w:ascii="宋体" w:hAnsi="宋体" w:eastAsia="宋体" w:cs="宋体"/>
          <w:color w:val="000000"/>
        </w:rPr>
        <w:t>从竞争力角度，简析巴西工业比重下降的原因。</w:t>
      </w:r>
    </w:p>
    <w:p w14:paraId="2B200A24">
      <w:pPr>
        <w:spacing w:line="360" w:lineRule="auto"/>
        <w:jc w:val="left"/>
        <w:textAlignment w:val="center"/>
        <w:rPr>
          <w:color w:val="000000"/>
        </w:rPr>
      </w:pPr>
      <w:r>
        <w:rPr>
          <w:color w:val="000000"/>
        </w:rPr>
        <w:t>（3）</w:t>
      </w:r>
      <w:r>
        <w:rPr>
          <w:rFonts w:ascii="宋体" w:hAnsi="宋体" w:eastAsia="宋体" w:cs="宋体"/>
          <w:color w:val="000000"/>
        </w:rPr>
        <w:t>分析巴西农业发展促进城镇化水平上升的原因。</w:t>
      </w:r>
    </w:p>
    <w:p w14:paraId="6CB34DC8">
      <w:pPr>
        <w:spacing w:line="360" w:lineRule="auto"/>
        <w:jc w:val="left"/>
        <w:textAlignment w:val="center"/>
        <w:rPr>
          <w:color w:val="000000"/>
        </w:rPr>
      </w:pPr>
      <w:r>
        <w:rPr>
          <w:color w:val="000000"/>
        </w:rPr>
        <w:t xml:space="preserve">27. </w:t>
      </w:r>
      <w:r>
        <w:rPr>
          <w:rFonts w:ascii="宋体" w:hAnsi="宋体" w:eastAsia="宋体" w:cs="宋体"/>
          <w:color w:val="000000"/>
        </w:rPr>
        <w:t>阅读材料，完成下列问题。</w:t>
      </w:r>
    </w:p>
    <w:p w14:paraId="0CD256B2">
      <w:pPr>
        <w:spacing w:line="360" w:lineRule="auto"/>
        <w:ind w:firstLine="420"/>
        <w:jc w:val="left"/>
        <w:textAlignment w:val="center"/>
        <w:rPr>
          <w:color w:val="000000"/>
        </w:rPr>
      </w:pPr>
      <w:r>
        <w:rPr>
          <w:rFonts w:ascii="楷体" w:hAnsi="楷体" w:eastAsia="楷体" w:cs="楷体"/>
          <w:color w:val="000000"/>
        </w:rPr>
        <w:t>材料一：生物是在古老的地质历史和特殊的地理环境下长期演化形成的。青藏高原是新构造运动以来，地球上强烈隆起的最高、最年轻的高原。因高原差异抬升，雅鲁藏布江不同河段形成宽、窄不等的河谷，其中</w:t>
      </w:r>
      <w:r>
        <w:rPr>
          <w:rFonts w:ascii="Times New Roman" w:hAnsi="Times New Roman" w:eastAsia="Times New Roman" w:cs="Times New Roman"/>
          <w:color w:val="000000"/>
        </w:rPr>
        <w:t>M</w:t>
      </w:r>
      <w:r>
        <w:rPr>
          <w:rFonts w:ascii="楷体" w:hAnsi="楷体" w:eastAsia="楷体" w:cs="楷体"/>
          <w:color w:val="000000"/>
        </w:rPr>
        <w:t>河段河谷较宽阔。</w:t>
      </w:r>
    </w:p>
    <w:p w14:paraId="4D1369DB">
      <w:pPr>
        <w:spacing w:line="360" w:lineRule="auto"/>
        <w:ind w:firstLine="420"/>
        <w:jc w:val="left"/>
        <w:textAlignment w:val="center"/>
        <w:rPr>
          <w:color w:val="000000"/>
        </w:rPr>
      </w:pPr>
      <w:r>
        <w:rPr>
          <w:rFonts w:ascii="楷体" w:hAnsi="楷体" w:eastAsia="楷体" w:cs="楷体"/>
          <w:color w:val="000000"/>
        </w:rPr>
        <w:t>材料二：受大气环流和地形的共同影响，河谷地区盛行风向随季节发生明显变化。下图为雅鲁藏布江及周边地区略图。</w:t>
      </w:r>
    </w:p>
    <w:p w14:paraId="187BFC1C">
      <w:pPr>
        <w:spacing w:line="360" w:lineRule="auto"/>
        <w:jc w:val="left"/>
        <w:textAlignment w:val="center"/>
        <w:rPr>
          <w:color w:val="000000"/>
        </w:rPr>
      </w:pPr>
      <w:r>
        <w:rPr>
          <w:color w:val="000000"/>
        </w:rPr>
        <w:drawing>
          <wp:inline distT="0" distB="0" distL="114300" distR="114300">
            <wp:extent cx="4076700" cy="1543050"/>
            <wp:effectExtent l="0" t="0" r="0" b="0"/>
            <wp:docPr id="100041" name="图片 100041"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yF6xsjZ0Xzzp2W+Da2wOPw=="/>
                    <pic:cNvPicPr>
                      <a:picLocks noChangeAspect="1"/>
                    </pic:cNvPicPr>
                  </pic:nvPicPr>
                  <pic:blipFill>
                    <a:blip r:embed="rId32"/>
                    <a:stretch>
                      <a:fillRect/>
                    </a:stretch>
                  </pic:blipFill>
                  <pic:spPr>
                    <a:xfrm>
                      <a:off x="0" y="0"/>
                      <a:ext cx="4076700" cy="1543050"/>
                    </a:xfrm>
                    <a:prstGeom prst="rect">
                      <a:avLst/>
                    </a:prstGeom>
                  </pic:spPr>
                </pic:pic>
              </a:graphicData>
            </a:graphic>
          </wp:inline>
        </w:drawing>
      </w:r>
    </w:p>
    <w:p w14:paraId="036ADF69">
      <w:pPr>
        <w:spacing w:line="360" w:lineRule="auto"/>
        <w:jc w:val="left"/>
        <w:textAlignment w:val="center"/>
        <w:rPr>
          <w:color w:val="000000"/>
        </w:rPr>
      </w:pPr>
      <w:r>
        <w:rPr>
          <w:color w:val="000000"/>
        </w:rPr>
        <w:t>（1）</w:t>
      </w:r>
      <w:r>
        <w:rPr>
          <w:rFonts w:ascii="宋体" w:hAnsi="宋体" w:eastAsia="宋体" w:cs="宋体"/>
          <w:color w:val="000000"/>
        </w:rPr>
        <w:t>甲、乙、丙三地物种数量变化趋势</w:t>
      </w:r>
      <w:r>
        <w:rPr>
          <w:rFonts w:ascii="宋体" w:hAnsi="宋体" w:eastAsia="宋体" w:cs="宋体"/>
          <w:color w:val="000000"/>
          <w:position w:val="0"/>
        </w:rPr>
        <w:drawing>
          <wp:inline distT="0" distB="0" distL="114300" distR="114300">
            <wp:extent cx="132080" cy="167640"/>
            <wp:effectExtent l="0" t="0" r="1270" b="317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33"/>
                    <a:stretch>
                      <a:fillRect/>
                    </a:stretch>
                  </pic:blipFill>
                  <pic:spPr>
                    <a:xfrm>
                      <a:off x="0" y="0"/>
                      <a:ext cx="132080" cy="167640"/>
                    </a:xfrm>
                    <a:prstGeom prst="rect">
                      <a:avLst/>
                    </a:prstGeom>
                  </pic:spPr>
                </pic:pic>
              </a:graphicData>
            </a:graphic>
          </wp:inline>
        </w:drawing>
      </w:r>
      <w:r>
        <w:rPr>
          <w:color w:val="000000"/>
        </w:rPr>
        <w:t>____</w:t>
      </w:r>
      <w:r>
        <w:rPr>
          <w:rFonts w:ascii="宋体" w:hAnsi="宋体" w:eastAsia="宋体" w:cs="宋体"/>
          <w:color w:val="000000"/>
        </w:rPr>
        <w:t>，解释其自然原因</w:t>
      </w:r>
      <w:r>
        <w:rPr>
          <w:color w:val="000000"/>
        </w:rPr>
        <w:t>____</w:t>
      </w:r>
      <w:r>
        <w:rPr>
          <w:rFonts w:ascii="宋体" w:hAnsi="宋体" w:eastAsia="宋体" w:cs="宋体"/>
          <w:color w:val="000000"/>
        </w:rPr>
        <w:t>。</w:t>
      </w:r>
    </w:p>
    <w:p w14:paraId="1BDF8406">
      <w:pPr>
        <w:spacing w:line="360" w:lineRule="auto"/>
        <w:jc w:val="left"/>
        <w:textAlignment w:val="center"/>
        <w:rPr>
          <w:color w:val="000000"/>
        </w:rPr>
      </w:pPr>
      <w:r>
        <w:rPr>
          <w:color w:val="000000"/>
        </w:rPr>
        <w:t>（2）</w:t>
      </w:r>
      <w:r>
        <w:rPr>
          <w:rFonts w:ascii="宋体" w:hAnsi="宋体" w:eastAsia="宋体" w:cs="宋体"/>
          <w:color w:val="000000"/>
        </w:rPr>
        <w:t>雅鲁藏布江中游河谷地区冬、夏季盛行风向分别是</w:t>
      </w:r>
      <w:r>
        <w:rPr>
          <w:color w:val="000000"/>
        </w:rPr>
        <w:t>____</w:t>
      </w:r>
      <w:r>
        <w:rPr>
          <w:rFonts w:ascii="宋体" w:hAnsi="宋体" w:eastAsia="宋体" w:cs="宋体"/>
          <w:color w:val="000000"/>
        </w:rPr>
        <w:t>风、</w:t>
      </w:r>
      <w:r>
        <w:rPr>
          <w:color w:val="000000"/>
        </w:rPr>
        <w:t>____</w:t>
      </w:r>
      <w:r>
        <w:rPr>
          <w:rFonts w:ascii="宋体" w:hAnsi="宋体" w:eastAsia="宋体" w:cs="宋体"/>
          <w:color w:val="000000"/>
        </w:rPr>
        <w:t>风。试分析盛行风冬季强于夏季的原因</w:t>
      </w:r>
      <w:r>
        <w:rPr>
          <w:color w:val="000000"/>
        </w:rPr>
        <w:t>____</w:t>
      </w:r>
      <w:r>
        <w:rPr>
          <w:rFonts w:ascii="宋体" w:hAnsi="宋体" w:eastAsia="宋体" w:cs="宋体"/>
          <w:color w:val="000000"/>
        </w:rPr>
        <w:t>。</w:t>
      </w:r>
    </w:p>
    <w:p w14:paraId="3D3884D5">
      <w:pPr>
        <w:spacing w:line="360" w:lineRule="auto"/>
        <w:jc w:val="left"/>
        <w:textAlignment w:val="center"/>
        <w:rPr>
          <w:color w:val="000000"/>
        </w:rPr>
      </w:pPr>
      <w:r>
        <w:rPr>
          <w:color w:val="000000"/>
        </w:rPr>
        <w:t>（3）</w:t>
      </w:r>
      <w:r>
        <w:rPr>
          <w:rFonts w:ascii="宋体" w:hAnsi="宋体" w:eastAsia="宋体" w:cs="宋体"/>
          <w:color w:val="000000"/>
        </w:rPr>
        <w:t>野外考察发现，</w:t>
      </w:r>
      <w:r>
        <w:rPr>
          <w:rFonts w:ascii="Times New Roman" w:hAnsi="Times New Roman" w:eastAsia="Times New Roman" w:cs="Times New Roman"/>
          <w:color w:val="000000"/>
        </w:rPr>
        <w:t>M</w:t>
      </w:r>
      <w:r>
        <w:rPr>
          <w:rFonts w:ascii="宋体" w:hAnsi="宋体" w:eastAsia="宋体" w:cs="宋体"/>
          <w:color w:val="000000"/>
        </w:rPr>
        <w:t>河段河床上经常会冲刷出新水道，试从自然环境整体性的角度说明原因。</w:t>
      </w:r>
    </w:p>
    <w:p w14:paraId="0410A94F">
      <w:pPr>
        <w:spacing w:line="360" w:lineRule="auto"/>
        <w:jc w:val="left"/>
        <w:textAlignment w:val="center"/>
        <w:rPr>
          <w:color w:val="000000"/>
        </w:rPr>
      </w:pPr>
      <w:r>
        <w:rPr>
          <w:color w:val="000000"/>
        </w:rPr>
        <w:t xml:space="preserve">28. </w:t>
      </w:r>
      <w:r>
        <w:rPr>
          <w:rFonts w:ascii="宋体" w:hAnsi="宋体" w:eastAsia="宋体" w:cs="宋体"/>
          <w:color w:val="000000"/>
        </w:rPr>
        <w:t>阅读材料，完成下列问题。</w:t>
      </w:r>
    </w:p>
    <w:p w14:paraId="2B6C27D3">
      <w:pPr>
        <w:spacing w:line="360" w:lineRule="auto"/>
        <w:ind w:firstLine="420"/>
        <w:jc w:val="left"/>
        <w:textAlignment w:val="center"/>
        <w:rPr>
          <w:color w:val="000000"/>
        </w:rPr>
      </w:pPr>
      <w:r>
        <w:rPr>
          <w:rFonts w:ascii="楷体" w:hAnsi="楷体" w:eastAsia="楷体" w:cs="楷体"/>
          <w:color w:val="000000"/>
        </w:rPr>
        <w:t>材料一：巴音河流域地处柴达木盆地东北部德令哈市，年均日照时数</w:t>
      </w:r>
      <w:r>
        <w:rPr>
          <w:rFonts w:ascii="Times New Roman" w:hAnsi="Times New Roman" w:eastAsia="Times New Roman" w:cs="Times New Roman"/>
          <w:color w:val="000000"/>
        </w:rPr>
        <w:t>2879h</w:t>
      </w:r>
      <w:r>
        <w:rPr>
          <w:rFonts w:ascii="楷体" w:hAnsi="楷体" w:eastAsia="楷体" w:cs="楷体"/>
          <w:color w:val="000000"/>
        </w:rPr>
        <w:t>，年均温仅</w:t>
      </w:r>
      <w:r>
        <w:rPr>
          <w:rFonts w:ascii="Times New Roman" w:hAnsi="Times New Roman" w:eastAsia="Times New Roman" w:cs="Times New Roman"/>
          <w:color w:val="000000"/>
        </w:rPr>
        <w:t>1~5℃</w:t>
      </w:r>
      <w:r>
        <w:rPr>
          <w:rFonts w:ascii="楷体" w:hAnsi="楷体" w:eastAsia="楷体" w:cs="楷体"/>
          <w:color w:val="000000"/>
        </w:rPr>
        <w:t>，年降水量</w:t>
      </w:r>
      <w:r>
        <w:rPr>
          <w:rFonts w:ascii="Times New Roman" w:hAnsi="Times New Roman" w:eastAsia="Times New Roman" w:cs="Times New Roman"/>
          <w:color w:val="000000"/>
        </w:rPr>
        <w:t>176.3mm</w:t>
      </w:r>
      <w:r>
        <w:rPr>
          <w:rFonts w:ascii="楷体" w:hAnsi="楷体" w:eastAsia="楷体" w:cs="楷体"/>
          <w:color w:val="000000"/>
        </w:rPr>
        <w:t>，夏季降水量占全年的</w:t>
      </w:r>
      <w:r>
        <w:rPr>
          <w:rFonts w:ascii="Times New Roman" w:hAnsi="Times New Roman" w:eastAsia="Times New Roman" w:cs="Times New Roman"/>
          <w:color w:val="000000"/>
        </w:rPr>
        <w:t>56~84%</w:t>
      </w:r>
      <w:r>
        <w:rPr>
          <w:rFonts w:ascii="楷体" w:hAnsi="楷体" w:eastAsia="楷体" w:cs="楷体"/>
          <w:color w:val="000000"/>
        </w:rPr>
        <w:t>，年蒸发量</w:t>
      </w:r>
      <w:r>
        <w:rPr>
          <w:rFonts w:ascii="Times New Roman" w:hAnsi="Times New Roman" w:eastAsia="Times New Roman" w:cs="Times New Roman"/>
          <w:color w:val="000000"/>
        </w:rPr>
        <w:t>2000~2500mm</w:t>
      </w:r>
      <w:r>
        <w:rPr>
          <w:rFonts w:ascii="楷体" w:hAnsi="楷体" w:eastAsia="楷体" w:cs="楷体"/>
          <w:color w:val="000000"/>
        </w:rPr>
        <w:t>。该流域草地一般</w:t>
      </w:r>
      <w:r>
        <w:rPr>
          <w:rFonts w:ascii="Times New Roman" w:hAnsi="Times New Roman" w:eastAsia="Times New Roman" w:cs="Times New Roman"/>
          <w:color w:val="000000"/>
        </w:rPr>
        <w:t>5</w:t>
      </w:r>
      <w:r>
        <w:rPr>
          <w:rFonts w:ascii="楷体" w:hAnsi="楷体" w:eastAsia="楷体" w:cs="楷体"/>
          <w:color w:val="000000"/>
        </w:rPr>
        <w:t>月中旬返青，</w:t>
      </w:r>
      <w:r>
        <w:rPr>
          <w:rFonts w:ascii="Times New Roman" w:hAnsi="Times New Roman" w:eastAsia="Times New Roman" w:cs="Times New Roman"/>
          <w:color w:val="000000"/>
        </w:rPr>
        <w:t>9</w:t>
      </w:r>
      <w:r>
        <w:rPr>
          <w:rFonts w:ascii="楷体" w:hAnsi="楷体" w:eastAsia="楷体" w:cs="楷体"/>
          <w:color w:val="000000"/>
        </w:rPr>
        <w:t>月上旬枯黄，生长期仅</w:t>
      </w:r>
      <w:r>
        <w:rPr>
          <w:rFonts w:ascii="Times New Roman" w:hAnsi="Times New Roman" w:eastAsia="Times New Roman" w:cs="Times New Roman"/>
          <w:color w:val="000000"/>
        </w:rPr>
        <w:t>120</w:t>
      </w:r>
      <w:r>
        <w:rPr>
          <w:rFonts w:ascii="楷体" w:hAnsi="楷体" w:eastAsia="楷体" w:cs="楷体"/>
          <w:color w:val="000000"/>
        </w:rPr>
        <w:t>天左右。气候、地形和土壤因子是草地所在区域生态系统的原生自然条件，可以反映草地自然质量。</w:t>
      </w:r>
    </w:p>
    <w:p w14:paraId="68B60F37">
      <w:pPr>
        <w:spacing w:line="360" w:lineRule="auto"/>
        <w:ind w:firstLine="420"/>
        <w:jc w:val="left"/>
        <w:textAlignment w:val="center"/>
        <w:rPr>
          <w:color w:val="000000"/>
        </w:rPr>
      </w:pPr>
      <w:r>
        <w:rPr>
          <w:rFonts w:ascii="楷体" w:hAnsi="楷体" w:eastAsia="楷体" w:cs="楷体"/>
          <w:color w:val="000000"/>
        </w:rPr>
        <w:t>材料二：下图为巴音河流域局部地区土地利用和地形图。</w:t>
      </w:r>
    </w:p>
    <w:p w14:paraId="2A20409D">
      <w:pPr>
        <w:spacing w:line="360" w:lineRule="auto"/>
        <w:jc w:val="left"/>
        <w:textAlignment w:val="center"/>
        <w:rPr>
          <w:color w:val="000000"/>
        </w:rPr>
      </w:pPr>
      <w:r>
        <w:rPr>
          <w:color w:val="000000"/>
        </w:rPr>
        <w:drawing>
          <wp:inline distT="0" distB="0" distL="114300" distR="114300">
            <wp:extent cx="3981450" cy="2295525"/>
            <wp:effectExtent l="0" t="0" r="0" b="9525"/>
            <wp:docPr id="100043" name="图片 100043" descr="学科网(www.zxxk.com)--教育资源门户，提供试卷、教案、课件、论文、素材以及各类教学资源下载，还有大量而丰富的教学相关资讯！ yF6xsjZ0Xzz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yF6xsjZ0Xzzp2W+Da2wOPw=="/>
                    <pic:cNvPicPr>
                      <a:picLocks noChangeAspect="1"/>
                    </pic:cNvPicPr>
                  </pic:nvPicPr>
                  <pic:blipFill>
                    <a:blip r:embed="rId34"/>
                    <a:stretch>
                      <a:fillRect/>
                    </a:stretch>
                  </pic:blipFill>
                  <pic:spPr>
                    <a:xfrm>
                      <a:off x="0" y="0"/>
                      <a:ext cx="3981450" cy="2295525"/>
                    </a:xfrm>
                    <a:prstGeom prst="rect">
                      <a:avLst/>
                    </a:prstGeom>
                  </pic:spPr>
                </pic:pic>
              </a:graphicData>
            </a:graphic>
          </wp:inline>
        </w:drawing>
      </w:r>
    </w:p>
    <w:p w14:paraId="036F6A73">
      <w:pPr>
        <w:spacing w:line="360" w:lineRule="auto"/>
        <w:jc w:val="left"/>
        <w:textAlignment w:val="center"/>
        <w:rPr>
          <w:color w:val="000000"/>
        </w:rPr>
      </w:pPr>
      <w:r>
        <w:rPr>
          <w:color w:val="000000"/>
        </w:rPr>
        <w:t>（1）</w:t>
      </w:r>
      <w:r>
        <w:rPr>
          <w:rFonts w:ascii="宋体" w:hAnsi="宋体" w:eastAsia="宋体" w:cs="宋体"/>
          <w:color w:val="000000"/>
        </w:rPr>
        <w:t>从规模和空间分布角度，分析耕地开垦和城乡居民点的关系。</w:t>
      </w:r>
    </w:p>
    <w:p w14:paraId="4B7B1D21">
      <w:pPr>
        <w:spacing w:line="360" w:lineRule="auto"/>
        <w:jc w:val="left"/>
        <w:textAlignment w:val="center"/>
        <w:rPr>
          <w:color w:val="000000"/>
        </w:rPr>
      </w:pPr>
      <w:r>
        <w:rPr>
          <w:color w:val="000000"/>
        </w:rPr>
        <w:t>（2）</w:t>
      </w:r>
      <w:r>
        <w:rPr>
          <w:rFonts w:ascii="宋体" w:hAnsi="宋体" w:eastAsia="宋体" w:cs="宋体"/>
          <w:color w:val="000000"/>
        </w:rPr>
        <w:t>简析图示南部地区草地与裸地、湿地交错分布的自然原因。</w:t>
      </w:r>
    </w:p>
    <w:p w14:paraId="28CC4B34">
      <w:pPr>
        <w:spacing w:line="360" w:lineRule="auto"/>
        <w:jc w:val="left"/>
        <w:textAlignment w:val="center"/>
        <w:rPr>
          <w:color w:val="000000"/>
        </w:rPr>
      </w:pPr>
      <w:r>
        <w:rPr>
          <w:color w:val="000000"/>
        </w:rPr>
        <w:t>（3）</w:t>
      </w:r>
      <w:r>
        <w:rPr>
          <w:rFonts w:ascii="宋体" w:hAnsi="宋体" w:eastAsia="宋体" w:cs="宋体"/>
          <w:color w:val="000000"/>
        </w:rPr>
        <w:t>从气候角度，分析巴音河流域草地生态系统的脆弱性。</w:t>
      </w:r>
    </w:p>
    <w:p w14:paraId="588F5E5F">
      <w:pPr>
        <w:spacing w:line="360" w:lineRule="auto"/>
        <w:jc w:val="left"/>
        <w:textAlignment w:val="center"/>
        <w:rPr>
          <w:color w:val="000000"/>
        </w:rPr>
      </w:pPr>
      <w:r>
        <w:rPr>
          <w:color w:val="000000"/>
        </w:rPr>
        <w:t>（4）</w:t>
      </w:r>
      <w:r>
        <w:rPr>
          <w:rFonts w:ascii="宋体" w:hAnsi="宋体" w:eastAsia="宋体" w:cs="宋体"/>
          <w:color w:val="000000"/>
        </w:rPr>
        <w:t>写出草地质量分等土壤因子中的至少两个评价指标，并说出选择的理由。</w:t>
      </w:r>
    </w:p>
    <w:p w14:paraId="1C7EFF83">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1F78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D53F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D57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2C079E"/>
    <w:rsid w:val="38274566"/>
    <w:rsid w:val="4FEF3058"/>
    <w:rsid w:val="7D4323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wmf"/><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3329</Words>
  <Characters>3683</Characters>
  <Lines>0</Lines>
  <Paragraphs>0</Paragraphs>
  <TotalTime>5</TotalTime>
  <ScaleCrop>false</ScaleCrop>
  <LinksUpToDate>false</LinksUpToDate>
  <CharactersWithSpaces>3949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2025-02-11T15:26:00Z</dcterms:created>
  <dc:creator>学科网试题生产平台</dc:creator>
  <dc:description>3689121479933952</dc:description>
  <cp:lastModifiedBy>上帝掷骰子吗</cp:lastModifiedBy>
  <dcterms:modified xsi:type="dcterms:W3CDTF">2026-02-10T06:55:56Z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E65A3F8EE5684049BD1FE90CBACE9881_12</vt:lpwstr>
  </property>
</Properties>
</file>