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88D2E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11214100</wp:posOffset>
            </wp:positionV>
            <wp:extent cx="266700" cy="393700"/>
            <wp:effectExtent l="0" t="0" r="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10236200</wp:posOffset>
            </wp:positionV>
            <wp:extent cx="457200" cy="330200"/>
            <wp:effectExtent l="0" t="0" r="0" b="12700"/>
            <wp:wrapNone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年普通高中学业水平选择性考试（河北卷）</w:t>
      </w:r>
    </w:p>
    <w:p w14:paraId="691BA8F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1DBF4CF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823654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4C6D929D">
      <w:pPr>
        <w:spacing w:line="360" w:lineRule="auto"/>
        <w:ind w:firstLine="420"/>
        <w:jc w:val="left"/>
        <w:textAlignment w:val="center"/>
      </w:pP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楷体" w:hAnsi="楷体" w:eastAsia="楷体" w:cs="楷体"/>
          <w:color w:val="auto"/>
        </w:rPr>
        <w:t>年春节期间，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新生活·新风尚·新年画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美术创作展示活动在全国多地开展。下图是一幅来自山东的入选作品。该作品在保留传统年画吉祥寓意的基础上，还描绘了城市物流促进乡村振兴的生动场景，深受群众喜爱。据此完成下面小题。</w:t>
      </w:r>
    </w:p>
    <w:p w14:paraId="1A222A59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2419350" cy="1809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5A60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在保留传统年画吉祥寓意的基础上，该作品还突出展现了（   ）</w:t>
      </w:r>
    </w:p>
    <w:p w14:paraId="70ABDC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农耕活动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传统民居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城乡融合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自然风光</w:t>
      </w:r>
    </w:p>
    <w:p w14:paraId="72FF15A4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图中城市物流直接助力了（   ）</w:t>
      </w:r>
    </w:p>
    <w:p w14:paraId="7CAF541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乡村旅游路线优化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农产品品牌价值提升</w:t>
      </w:r>
    </w:p>
    <w:p w14:paraId="31150A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乡村人居环境改善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农产品销售市场拓展</w:t>
      </w:r>
    </w:p>
    <w:p w14:paraId="173098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人力资源是指一定区域所有可用的具备劳动能力（体质、智力、知识、技能）的人的总和，包括数量和质量两个方面。目前，我国已进入人口减量发展阶段，国家提出要加强人力资源开发利用。下表为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十四五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期间我国四个省份人口增长量统计结果。据此完成下面小题。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66BA4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9F2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省份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59D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人口自然增长量（万人）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0C6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常住人口增长量（万人）</w:t>
            </w:r>
          </w:p>
        </w:tc>
      </w:tr>
      <w:tr w14:paraId="614DC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7E7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吉林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5AE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-56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4CF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-102</w:t>
            </w:r>
          </w:p>
        </w:tc>
      </w:tr>
      <w:tr w14:paraId="61FC5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D15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河南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9C2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-26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165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-197</w:t>
            </w:r>
          </w:p>
        </w:tc>
      </w:tr>
      <w:tr w14:paraId="29159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730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5D8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AD7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233</w:t>
            </w:r>
          </w:p>
        </w:tc>
      </w:tr>
      <w:tr w14:paraId="25DEB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9B7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贵州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49E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E940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-1</w:t>
            </w:r>
          </w:p>
        </w:tc>
      </w:tr>
    </w:tbl>
    <w:p w14:paraId="4AC4050F">
      <w:pPr>
        <w:spacing w:line="360" w:lineRule="auto"/>
        <w:jc w:val="left"/>
        <w:textAlignment w:val="center"/>
        <w:rPr>
          <w:color w:val="000000"/>
        </w:rPr>
      </w:pPr>
    </w:p>
    <w:p w14:paraId="4559C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据表判断，“十四五”期间（   ）</w:t>
      </w:r>
    </w:p>
    <w:p w14:paraId="2ED679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浙江省人口净流出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河南省人口净流入</w:t>
      </w:r>
    </w:p>
    <w:p w14:paraId="451FD9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吉林省人口净流出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贵州省人口净流入</w:t>
      </w:r>
    </w:p>
    <w:p w14:paraId="224C4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在人口减量发展的宏观背景下，提高人力资源总量的策略有（   ）</w:t>
      </w:r>
    </w:p>
    <w:p w14:paraId="3B4E24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①提高全民健康水平 ②加快城乡人口流动</w:t>
      </w:r>
    </w:p>
    <w:p w14:paraId="12C55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③提高城乡就业水平 ④提升全民文化素质</w:t>
      </w:r>
    </w:p>
    <w:p w14:paraId="2CCDF9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AA946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奋斗者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号载人潜水器在西北太平洋的千岛-堪察加海沟考察时，首次在深达</w:t>
      </w:r>
      <w:r>
        <w:rPr>
          <w:rFonts w:ascii="Times New Roman" w:hAnsi="Times New Roman" w:eastAsia="Times New Roman" w:cs="Times New Roman"/>
          <w:color w:val="000000"/>
        </w:rPr>
        <w:t>9533</w:t>
      </w:r>
      <w:r>
        <w:rPr>
          <w:rFonts w:ascii="楷体" w:hAnsi="楷体" w:eastAsia="楷体" w:cs="楷体"/>
          <w:color w:val="000000"/>
        </w:rPr>
        <w:t>米的海底发现生物群落。研究表明，该生物群落不依赖阳光，而是依靠海底富含硫化氢和甲烷的流体来生存。据此完成下面小题。</w:t>
      </w:r>
    </w:p>
    <w:p w14:paraId="369B7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相对于表层海水，该生物群落生存区域的海水（   ）</w:t>
      </w:r>
    </w:p>
    <w:p w14:paraId="717D64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密度大，温度低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密度小，温度高</w:t>
      </w:r>
    </w:p>
    <w:p w14:paraId="42FDFF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密度小，温度低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密度大，温度高</w:t>
      </w:r>
    </w:p>
    <w:p w14:paraId="57A73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海底流体中甲烷被该生物群落利用的过程会（   ）</w:t>
      </w:r>
    </w:p>
    <w:p w14:paraId="53063C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降低海底生物量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加剧全球变暖</w:t>
      </w:r>
    </w:p>
    <w:p w14:paraId="004AD9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增加有机碳储量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减弱千岛寒流</w:t>
      </w:r>
    </w:p>
    <w:p w14:paraId="1423BA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江苏兴化的湖荡平原地势低洼。数百年来，当地劳动人民克服自然环境制约，通过挖泥垫田，摆脱水涝灾害，进行农业生产。随着持续改造和耕作，农田微地形逐渐分化，土壤不断改良。下图示意该地改造后的荡田区微地形剖面。据此完成下面小题。</w:t>
      </w:r>
    </w:p>
    <w:p w14:paraId="50DBB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923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AF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与Ⅱ区相比，Ⅰ区土壤（   ）</w:t>
      </w:r>
    </w:p>
    <w:p w14:paraId="41BB71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排水能力好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盐渍化较严重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质地较黏重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有机质分解慢</w:t>
      </w:r>
    </w:p>
    <w:p w14:paraId="038CE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Ⅲ区适合种植（   ）</w:t>
      </w:r>
    </w:p>
    <w:p w14:paraId="4DD0FF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玉米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莲藕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棉花</w:t>
      </w:r>
    </w:p>
    <w:p w14:paraId="2B367B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低空急流是对流层下部强而窄的风带。来自阿拉伯海的低空急流是南亚夏季风的重要组成部分。研究发现，</w:t>
      </w:r>
      <w:r>
        <w:rPr>
          <w:rFonts w:ascii="Times New Roman" w:hAnsi="Times New Roman" w:eastAsia="Times New Roman" w:cs="Times New Roman"/>
          <w:color w:val="000000"/>
        </w:rPr>
        <w:t>1979</w:t>
      </w:r>
      <w:r>
        <w:rPr>
          <w:rFonts w:ascii="楷体" w:hAnsi="楷体" w:eastAsia="楷体" w:cs="楷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年期间，甲地区春夏季的异常增温常引发阿拉伯海的低空急流异常北移（下图）。据此完成下面小题。</w:t>
      </w:r>
    </w:p>
    <w:p w14:paraId="6F4FB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2190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4C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该低空急流异常北移是由于甲地区与阿拉伯海之间（   ）</w:t>
      </w:r>
    </w:p>
    <w:p w14:paraId="779177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高差增大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气压梯度增大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温差变小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辐射差异变小</w:t>
      </w:r>
    </w:p>
    <w:p w14:paraId="1CD37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该低空急流异常北移至②的时期，乙地区（   ）</w:t>
      </w:r>
    </w:p>
    <w:p w14:paraId="4F1AF4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降水较常年同期少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沿岸季风洋流减弱</w:t>
      </w:r>
    </w:p>
    <w:p w14:paraId="4919F5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远离季风水汽通道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暴雨洪涝次数增加</w:t>
      </w:r>
    </w:p>
    <w:p w14:paraId="389B5F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春夏之交，时逢周末，青山老师带领学生来到冀北某山地徒步考察（下图）。上午登山途中，同学们依次看到了落叶阔叶林、针叶林和草甸等植被类型，并拍摄了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空中草甸，美丽家乡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的短视频。午后，西北风刮起，气温骤降，北部天空云渐起雨渐密。青山老师马上组织同学们下山乘车，平安返回。据此完成下面小题。</w:t>
      </w:r>
    </w:p>
    <w:p w14:paraId="52E71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600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5B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爬坡时，最需同学们相互助力的陡坡路段为（   ）</w:t>
      </w:r>
    </w:p>
    <w:p w14:paraId="57E7CD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Ⅰ</w:t>
      </w:r>
      <w:r>
        <w:rPr>
          <w:color w:val="000000"/>
        </w:rPr>
        <w:tab/>
      </w:r>
      <w:r>
        <w:rPr>
          <w:color w:val="000000"/>
        </w:rPr>
        <w:t>B. Ⅱ</w:t>
      </w:r>
      <w:r>
        <w:rPr>
          <w:color w:val="000000"/>
        </w:rPr>
        <w:tab/>
      </w:r>
      <w:r>
        <w:rPr>
          <w:color w:val="000000"/>
        </w:rPr>
        <w:t>C. 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Ⅳ</w:t>
      </w:r>
    </w:p>
    <w:p w14:paraId="3A069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拍摄“空中草甸，美丽家乡”短视频的最佳路段为（   ）</w:t>
      </w:r>
    </w:p>
    <w:p w14:paraId="60CA4F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Ⅰ</w:t>
      </w:r>
      <w:r>
        <w:rPr>
          <w:color w:val="000000"/>
        </w:rPr>
        <w:tab/>
      </w:r>
      <w:r>
        <w:rPr>
          <w:color w:val="000000"/>
        </w:rPr>
        <w:t>B. Ⅱ</w:t>
      </w:r>
      <w:r>
        <w:rPr>
          <w:color w:val="000000"/>
        </w:rPr>
        <w:tab/>
      </w:r>
      <w:r>
        <w:rPr>
          <w:color w:val="000000"/>
        </w:rPr>
        <w:t>C. 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Ⅳ</w:t>
      </w:r>
    </w:p>
    <w:p w14:paraId="3A808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产生该次风雨现象的天气系统是（   ）</w:t>
      </w:r>
    </w:p>
    <w:p w14:paraId="5DFFFF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暖锋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台风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冷锋</w:t>
      </w:r>
    </w:p>
    <w:p w14:paraId="5652152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鄱阳湖南部汇聚多条河流，北部由狭长的入江水道与长江连通。枯水期，湖床微地貌（深切河道、洲滩、岛屿、圩堤、干流分出的汊港、存留孤立水体的碟形湖等）尽显；丰水期，除岛屿外，其余皆没于水下，即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高水为湖，低水似河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。下图为某年水位上升时，不同高程区间湖面新增面积占当年湖泊最大面积的百分比。据此完成下面小题。</w:t>
      </w:r>
    </w:p>
    <w:p w14:paraId="6D0B2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971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C3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鄱阳湖枯水期，更新周期最长的水体位于（   ）</w:t>
      </w:r>
    </w:p>
    <w:p w14:paraId="56971B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碟形湖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深切河道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小汊港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入江水道</w:t>
      </w:r>
    </w:p>
    <w:p w14:paraId="7B1B1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能整体反映材料中湖床形态的剖面图是（   ）</w:t>
      </w:r>
    </w:p>
    <w:p w14:paraId="1DE44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714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047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F58A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多年观测表明，鄱阳湖主汛期多在</w:t>
      </w:r>
      <w:r>
        <w:rPr>
          <w:rFonts w:ascii="Times New Roman" w:hAnsi="Times New Roman" w:eastAsia="Times New Roman" w:cs="Times New Roman"/>
          <w:color w:val="000000"/>
        </w:rPr>
        <w:t>4—6</w:t>
      </w:r>
      <w:r>
        <w:rPr>
          <w:rFonts w:ascii="宋体" w:hAnsi="宋体" w:eastAsia="宋体" w:cs="宋体"/>
          <w:color w:val="000000"/>
        </w:rPr>
        <w:t>月，长江干流主汛期多在</w:t>
      </w:r>
      <w:r>
        <w:rPr>
          <w:rFonts w:ascii="Times New Roman" w:hAnsi="Times New Roman" w:eastAsia="Times New Roman" w:cs="Times New Roman"/>
          <w:color w:val="000000"/>
        </w:rPr>
        <w:t>7—9</w:t>
      </w:r>
      <w:r>
        <w:rPr>
          <w:rFonts w:ascii="宋体" w:hAnsi="宋体" w:eastAsia="宋体" w:cs="宋体"/>
          <w:color w:val="000000"/>
        </w:rPr>
        <w:t>月，而鄱阳湖南北两端最小水位差常出现在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月，原因是（   ）</w:t>
      </w:r>
    </w:p>
    <w:p w14:paraId="442628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湖水下泄加强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湖面蒸发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湖泊蓄水减少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长江顶托</w:t>
      </w:r>
    </w:p>
    <w:p w14:paraId="32EFC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5BF9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6291F6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磁灶镇地处福建省泉州市南部高岭土资源丰富的丘陵地区。磁灶窑址是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泉州：宋元中国的世界海洋商贸中心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世界文化遗产的重要组成部分。当地先民就近取材，按照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取土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淘洗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制泥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捏坯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烧瓷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的工艺流程生产陶瓷。陶瓷经河流运至泉州港，销往海内外，宋元时期达到鼎盛。近年来，当地政府通过挖掘古代陶瓷文化，加速旅游开发，推动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美丽乡村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建设。下图示意古代生产型瓷业聚落景观。</w:t>
      </w:r>
    </w:p>
    <w:p w14:paraId="0C7BD9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504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E2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简析磁灶镇古代陶瓷生产的自然区位条件。</w:t>
      </w:r>
    </w:p>
    <w:p w14:paraId="1C36E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概括古代“瓷窑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作坊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院落及家庭作坊”生产型瓷业聚落的空间结构特征。</w:t>
      </w:r>
    </w:p>
    <w:p w14:paraId="6941F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为加强陶瓷文化遗产保护利用，当地政府拟利用瓷窑、船坞等文化遗产“符号”，策划文旅融合项目。请为当地拟定一个文旅融合项目的名称。</w:t>
      </w:r>
    </w:p>
    <w:p w14:paraId="61EDD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（要求：围绕一种或两种文化遗产“符号”，明确项目内容，不超过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字）</w:t>
      </w:r>
    </w:p>
    <w:p w14:paraId="57BB3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7CDD66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西北诸造山带的大型河谷沟口常发育多期洪积扇。下图为某造山带边缘洪积扇形成演化综合模式图。图中显示，洪积扇扇顶均位于其受控的山前断层附近；山前断层下降盘沉降幅度的时空差异，不仅影响洪积扇发育的形态和规模，也影响洪积扇的叠置关系。</w:t>
      </w:r>
    </w:p>
    <w:p w14:paraId="5A876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7907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A2E50">
      <w:pPr>
        <w:spacing w:line="360" w:lineRule="auto"/>
        <w:jc w:val="left"/>
        <w:textAlignment w:val="center"/>
        <w:rPr>
          <w:color w:val="000000"/>
        </w:rPr>
      </w:pPr>
    </w:p>
    <w:p w14:paraId="27CE1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图中河流沿线的两个洪积扇，受控于断层①的是洪积扇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”）；洪积扇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受控于断层②的第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次活动；洪积扇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的形成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（填“早”或“晚”）于洪积扇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187C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指出河流改道的时期，并说明改道的原因及对洪积扇发育的影响。</w:t>
      </w:r>
    </w:p>
    <w:p w14:paraId="6D54F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根据各期洪积扇特征判断其受控断层下降盘的沉降幅度，按一一对应关系补充完成连线。（说明：沉降幅度为Ⅰ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Ⅱ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Ⅳ）</w:t>
      </w:r>
    </w:p>
    <w:p w14:paraId="68563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5430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67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0E0077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围绕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水运与区域经济发展关系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主题，绿水老师组织学生以广西壮族自治区为例，运用点轴开发理论，分析区域经济发展的增长极和主要经济带。下图为同学们整理的广西流域分布图及背景资料卡片。</w:t>
      </w:r>
    </w:p>
    <w:p w14:paraId="1C93F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23145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476625" cy="1266825"/>
            <wp:effectExtent l="0" t="0" r="9525" b="9525"/>
            <wp:docPr id="525728014" name="图片 525728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728014" name="图片 525728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7B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从流域范围角度推断广西各流域水运能力的差异，并指出目前制约北部湾沿海港口江海联运的瓶颈。</w:t>
      </w:r>
    </w:p>
    <w:p w14:paraId="3DFFC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立足区位优势和发展机遇，从加强对内联动、对外开放两个视角，提出优化广西水运建设的策略。</w:t>
      </w:r>
    </w:p>
    <w:p w14:paraId="3248A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从江海联运视角，指出广西应着力打造的区域中心增长极和主要经济带。</w:t>
      </w:r>
    </w:p>
    <w:p w14:paraId="3C64689C">
      <w:pPr>
        <w:spacing w:line="360" w:lineRule="auto"/>
        <w:jc w:val="both"/>
        <w:textAlignment w:val="center"/>
        <w:rPr>
          <w:color w:val="000000"/>
        </w:rPr>
      </w:pPr>
    </w:p>
    <w:p w14:paraId="4051B1D7">
      <w:pPr>
        <w:spacing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E3DE06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8DD0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289D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4C02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F53960"/>
    <w:rsid w:val="38274566"/>
    <w:rsid w:val="798F3FD1"/>
    <w:rsid w:val="7AA5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2583</Words>
  <Characters>2735</Characters>
  <Lines>0</Lines>
  <Paragraphs>0</Paragraphs>
  <TotalTime>5</TotalTime>
  <ScaleCrop>false</ScaleCrop>
  <LinksUpToDate>false</LinksUpToDate>
  <CharactersWithSpaces>2913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2026-06-23T20:51:00Z</dcterms:created>
  <dc:creator>学科网试题生产平台</dc:creator>
  <dc:description>4040914224939008</dc:description>
  <cp:lastModifiedBy>上帝掷骰子吗</cp:lastModifiedBy>
  <dcterms:modified xsi:type="dcterms:W3CDTF">2026-09-18T16:48:24Z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B8DD65A281564A22844E58AA86C8C557_12</vt:lpwstr>
  </property>
</Properties>
</file>