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DBB35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11442700</wp:posOffset>
            </wp:positionV>
            <wp:extent cx="371475" cy="266700"/>
            <wp:effectExtent l="0" t="0" r="9525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2024年普通高中学业水平选择性考试（重庆卷）</w:t>
      </w:r>
    </w:p>
    <w:p w14:paraId="39D49B63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思想政治</w:t>
      </w:r>
    </w:p>
    <w:p w14:paraId="7527709A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本试卷满分100分，考试时间75分钟</w:t>
      </w:r>
    </w:p>
    <w:p w14:paraId="5CCBEF1D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一、选择题（本大题共16小题，每小题3分，共48分。在每小题给出的四个选项中，只有一项是最符合题目要求的）。</w:t>
      </w:r>
    </w:p>
    <w:p w14:paraId="65602E3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实事求是是马克思主义的精髓和灵魂，是中国共产党的思想路线，也是党的基本思想方法、工作方法和领导方法。阅读材料，完成下面小题。</w:t>
      </w:r>
    </w:p>
    <w:p w14:paraId="0532E06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东汉史学家班固在《汉书》中称赞河间献王刘德“修学好古，实事求是”；唐代学者颜师古将“实事求是”注为“务得事实，每求真是也”；清代学者阮元说：“余之说经，推明古训，实事求是而已，非敢立异也。”下列说法正确的是（   ）</w:t>
      </w:r>
    </w:p>
    <w:p w14:paraId="525CB72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①作为一种治学态度和治学方法，“实事求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”在中国源远流长</w:t>
      </w:r>
    </w:p>
    <w:p w14:paraId="4E2DF3D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②弘扬传统文化中“实事求是”精神，需要“推陈出新，革故鼎新”</w:t>
      </w:r>
    </w:p>
    <w:p w14:paraId="3796525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③倡导“实事求是”的中华传统文化，是中国近代科学兴起的基础</w:t>
      </w:r>
    </w:p>
    <w:p w14:paraId="4232ECB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④中华传统文化蕴含的“实事求是”思想，具有超越时代条件的特质</w:t>
      </w:r>
    </w:p>
    <w:p w14:paraId="67B72ADE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33C3D9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马克思、恩格斯没有直接用过“实事求是”这个词汇。1941年，毛泽东在《改造我们的学习》一文中，首次用“实事求是”一词生动概括了马克思主义世界观和方法论，并在领导中国革命和建设过程中，实际上将其确立为党的思想路线。由此可知（   ）</w:t>
      </w:r>
    </w:p>
    <w:p w14:paraId="7D0FB3B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①马克思主义理论中原本没有“实事求是”这一思想内涵</w:t>
      </w:r>
    </w:p>
    <w:p w14:paraId="7C5A542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②实事求是是一切真正的马克思主义者必须坚持的正确认识路线</w:t>
      </w:r>
    </w:p>
    <w:p w14:paraId="4E04F53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③毛泽东倡导的“实事求是”只适用于中国革命和社会主义建设特定时期</w:t>
      </w:r>
    </w:p>
    <w:p w14:paraId="33EA8D6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④毛泽东将“实事求是”确立为党的思想路线，是对党的建设理论的丰富发展</w:t>
      </w:r>
    </w:p>
    <w:p w14:paraId="2A8C697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5E7C50E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习近平指出，“实践反复证明，坚持实事求是，就能兴党兴国；违背实事求是，就会误党误国。”对此，说法正确的是（   ）</w:t>
      </w:r>
    </w:p>
    <w:p w14:paraId="04C397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①坚持实事求是，是兴党兴国的充分必要条件</w:t>
      </w:r>
    </w:p>
    <w:p w14:paraId="34CA24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②坚持实事求是就是坚持唯物主义，违背实事求是就会陷入形而上学</w:t>
      </w:r>
    </w:p>
    <w:p w14:paraId="5931168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③对坚持实事求是与兴党兴国关系的规律性认识，根源于对经验教训的归纳推理</w:t>
      </w:r>
    </w:p>
    <w:p w14:paraId="55F03FD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④对治党兴国历史经验教训的归纳推理，运用了求同求异并用法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3" name="图片 10001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page number 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DEA45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39EED55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30E572B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重庆市整治形式主义，既做减法，也做加法。减法是减掉形式主义的桎梏，让基层干部从繁文缛节、文山会海、迎来送往中解脱出来。加法是用数字技术赋能政府，以“一张表”简化数据填报、“一平台”优化系统操作、“一件事”强化办事效率，推动政务服务提质增效。由此可见（   ）</w:t>
      </w:r>
    </w:p>
    <w:p w14:paraId="3035698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①整治形式主义的效果取决于智能高效政府建设成效</w:t>
      </w:r>
    </w:p>
    <w:p w14:paraId="560A17D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②做减法应坚持实事求是，明晰且落实基层政府职责</w:t>
      </w:r>
    </w:p>
    <w:p w14:paraId="121FE0A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③做加法是政府通过数字技术，用“算力”解放“人力”</w:t>
      </w:r>
    </w:p>
    <w:p w14:paraId="18DC45F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④做减法和做加法目的是确保政府权力在法治框架内运行</w:t>
      </w:r>
    </w:p>
    <w:p w14:paraId="1CC38B68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558164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习近平强调，在五千多年中华文明深厚基础上开辟和发展中国特色社会主义，把马克思主义基本原理同中国具体实际、同中华优秀传统文化相结合是必由之路。马克思主义中国化时代化这个重大命题本身就决定，我们决不能抛弃马克思主义这个魂脉，决不能抛弃中华优秀传统文化这个根脉。下列说法正确的是（   ）</w:t>
      </w:r>
    </w:p>
    <w:p w14:paraId="249698F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①坚守马克思主义魂脉和中华优秀传统文化根脉，必须不断推进“两个结合”</w:t>
      </w:r>
    </w:p>
    <w:p w14:paraId="1C22F48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②“两个结合”强调马克思主义与中华优秀传统文化在立场观点方法上的一致性</w:t>
      </w:r>
    </w:p>
    <w:p w14:paraId="2D47B70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③“第二个结合”是中国共产党跳出治乱兴衰历史周期率的第二个答案</w:t>
      </w:r>
    </w:p>
    <w:p w14:paraId="04C29F1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④“第二个结合”使中国特色社会主义具有深远历史纵深和深厚文化根基</w:t>
      </w:r>
    </w:p>
    <w:p w14:paraId="0FF6275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7B1FF3B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从产品出海到品牌出海再到全链生态出海，我国企业出海不断升级、亮点纷呈，下表简要展示了我国企业出海进程。材料表明（   ）</w:t>
      </w: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19"/>
        <w:gridCol w:w="6206"/>
      </w:tblGrid>
      <w:tr w14:paraId="71D02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115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5BAE4E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20世纪80年代</w:t>
            </w:r>
          </w:p>
        </w:tc>
        <w:tc>
          <w:tcPr>
            <w:tcW w:w="6195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BA128C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借助劳动力成本优势发展加工贸易，成衣、玩具等轻工产品出海</w:t>
            </w:r>
          </w:p>
        </w:tc>
      </w:tr>
      <w:tr w14:paraId="67415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11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93F4AE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2001年加入WTO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85AF5A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出海产品结构升级，服装、家具、家电“老三样”成为出口主力</w:t>
            </w:r>
          </w:p>
        </w:tc>
      </w:tr>
      <w:tr w14:paraId="6BD472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11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7CE806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2013年“一带一路”倡议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B08393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零售、时尚、电子企业加速全球布局，跨境电商崛起助推品牌出海</w:t>
            </w:r>
          </w:p>
        </w:tc>
      </w:tr>
      <w:tr w14:paraId="62DBA8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115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EADEE60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2022年以来高水平对外开放新阶段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99F0D50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新能源车、锂电池、太阳能电池“新三样”畅销海外，产品、技术、人才、管理全链生态出海</w:t>
            </w:r>
          </w:p>
        </w:tc>
      </w:tr>
    </w:tbl>
    <w:p w14:paraId="7362029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①我国对外开放由吸引外资转向对外投资</w:t>
      </w:r>
    </w:p>
    <w:p w14:paraId="2A04181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②我国产业比较优势变迁推动了企业出海升级</w:t>
      </w:r>
    </w:p>
    <w:p w14:paraId="63EBDA2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③我国企业出海升级减少了进口国的贸易利得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27" name="图片 100027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page number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B4D2B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C837C5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④“新三样”出海顺应了全球应对气候变化的市场需求</w:t>
      </w:r>
    </w:p>
    <w:p w14:paraId="53D9B495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3D51987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ESG关注企业的环保责任（Environmental）、社会责任（Social）、治理绩效（Governance），而非单一的财务绩效，已成为世界各国日益重视的投资新理念。下图绘制了企业ESG投入与经营效益间的关系随时间变化的曲线。由此可知（   ）</w:t>
      </w:r>
    </w:p>
    <w:p w14:paraId="13DE851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38425" cy="1381125"/>
            <wp:effectExtent l="0" t="0" r="0" b="889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A760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①ESG投入越多，企业的经营效益越好</w:t>
      </w:r>
    </w:p>
    <w:p w14:paraId="07461F6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②长期的ESG投入能够给企业带来品牌溢价</w:t>
      </w:r>
    </w:p>
    <w:p w14:paraId="5AEBEAF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③短期的ESG投入可能导致企业经营效益下滑</w:t>
      </w:r>
    </w:p>
    <w:p w14:paraId="7662A08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④ESG理念反映出企业核心竞争优势发生转变</w:t>
      </w:r>
    </w:p>
    <w:p w14:paraId="0243B45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3667FBA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人工智能（AI）快速发展，对社会生产生活产生了重大影响。阅读材料，回答下面小题。</w:t>
      </w:r>
    </w:p>
    <w:p w14:paraId="56708A5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某国际知名研究机构将美国主要职业的“复杂任务”分为AI不可替代、AI互补和AI可替代三类，并估算了这三类任务的占比情况（如图），认为AI可替代任务占比超过50%的职业，被当前迅速发展的生成式AI替代的风险很高。对此，理解正确的是（   ）</w:t>
      </w:r>
    </w:p>
    <w:p w14:paraId="74D889C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295650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27BD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美国主要职业（节选）的“复杂任务”AI可替代性分布情况</w:t>
      </w:r>
    </w:p>
    <w:p w14:paraId="2668E32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①AI应用推动了不同类型的职业优胜劣汰</w:t>
      </w:r>
    </w:p>
    <w:p w14:paraId="2447F68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②AI应用不会改变劳动在价值创造中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重要性</w:t>
      </w:r>
    </w:p>
    <w:p w14:paraId="2A3F92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③AI可替代任务占比更低的职业，属于低技能型职业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47" name="图片 100047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page number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3D018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E4DB6C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④AI可替代任务占比更高的职业，劳动生产率增长潜力更大</w:t>
      </w:r>
    </w:p>
    <w:p w14:paraId="393D8EC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2631534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“耳听为虚，眼见未必为实。”Sora等文生视频大模型能生成几乎可以“以假乱真”的视频（如图）。这种技术的快速迭代和广泛应用，将深刻影响人们对世界的认知。关于Sora，说法正确的是（   ）</w:t>
      </w:r>
    </w:p>
    <w:p w14:paraId="45CB40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90775" cy="22669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523E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Sora根据人的主观要求生成的视频，不是对现实世界的反映</w:t>
      </w:r>
    </w:p>
    <w:p w14:paraId="5525E15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归根结底，Sora等大模型生成的视频仍是人类社会实践的产物</w:t>
      </w:r>
    </w:p>
    <w:p w14:paraId="43055C2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Sora能生成“以假乱真”视频，说明真与假的对立性是相对的</w:t>
      </w:r>
    </w:p>
    <w:p w14:paraId="381A926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Sora广泛应用于“深度造假”，将导致世界真实面目不可认识</w:t>
      </w:r>
    </w:p>
    <w:p w14:paraId="4D2B4FE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全国人大代表一头连着我国最高国家权力机关，一头连着广大人民群众。2023年6月，全国人大常委会新设立代表工作委员会。该机构成立以来，实现了统筹管理全国人大代表议案建议工作的若干“首次”（如表）。全国人大常委会设立代表工作委员会（   ）</w:t>
      </w: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7033"/>
      </w:tblGrid>
      <w:tr w14:paraId="31E181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9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71B5B3F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2023年9月</w:t>
            </w:r>
          </w:p>
        </w:tc>
        <w:tc>
          <w:tcPr>
            <w:tcW w:w="7020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B96CBE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首次召开代表建议办理推进会，督促各承办单位按时保质办理代表建议</w:t>
            </w:r>
          </w:p>
        </w:tc>
      </w:tr>
      <w:tr w14:paraId="5A594D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9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13D0C0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2023年10月</w:t>
            </w:r>
          </w:p>
        </w:tc>
        <w:tc>
          <w:tcPr>
            <w:tcW w:w="7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536D0B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首次召开代表议案建议分析座谈会，引导各承办单位充分发挥议案建议在全面深化改革、解决群众反映难题中的作用</w:t>
            </w:r>
          </w:p>
        </w:tc>
      </w:tr>
      <w:tr w14:paraId="518BF9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9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67AD94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2024年2月</w:t>
            </w:r>
          </w:p>
        </w:tc>
        <w:tc>
          <w:tcPr>
            <w:tcW w:w="7020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C1E31A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根据代表议案建议落实转化情况，首次发布10个高质量审议办理的典型案例</w:t>
            </w:r>
          </w:p>
        </w:tc>
      </w:tr>
    </w:tbl>
    <w:p w14:paraId="39573A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①为全国人大代表提出议案建议提供了体制保障</w:t>
      </w:r>
    </w:p>
    <w:p w14:paraId="1BA1F52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②使其承担审议办理全国人大代表议案建议的专门职责</w:t>
      </w:r>
    </w:p>
    <w:p w14:paraId="1CFFF50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③适应了全国人大代表议案建议工作高质量发展的需求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63" name="图片 10006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page number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6559C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372B9E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④有利于将人民群众的智慧转化为推动国家发展的政策措施</w:t>
      </w:r>
    </w:p>
    <w:p w14:paraId="664F7A6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362CEF3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针对消防通道占用、网吧接纳未成年人等违法行为，乡镇（街道）由于行政执法权限相对缺失，常常陷入“看得见管不着”的困境。对此，重庆市通过梳理现行法律法规确定27项镇街法定行政执法事项，并结合基层实际依法赋予镇街99项区县级行政执法事项，综合形成镇街“一张行政执法清单”。该举措（   ）</w:t>
      </w:r>
    </w:p>
    <w:p w14:paraId="1BDC3A7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①使镇街的行政执法权实现了从无到有的变革</w:t>
      </w:r>
    </w:p>
    <w:p w14:paraId="3044C1B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②扩大镇街行政执法事项以适应基层治理需要</w:t>
      </w:r>
    </w:p>
    <w:p w14:paraId="44449CD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③有利于科学配置上下级行政机关间的执法权限</w:t>
      </w:r>
    </w:p>
    <w:p w14:paraId="47BA720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④体现出镇街比上级行政机关承担更多政府职责</w:t>
      </w:r>
    </w:p>
    <w:p w14:paraId="08E2B3B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7A33C70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美国国务卿布林肯表示：在国际体系中，如果你不坐在餐桌上，就会出现在菜单上。联合国发言人表示：联合国有一张给193个成员国的大桌子，大家一起讨论那些没有任何国家能独立解决的问题，没人在菜单上。中国外交部长王毅表示：不能再允许谁的拳头大谁说了算，更不能允许有的国家必须在餐桌上、有的国家只能在菜单里。对此，理解正确的是（   ）</w:t>
      </w:r>
    </w:p>
    <w:p w14:paraId="1A9E4C3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①布林肯的“餐桌论”体现了美国外交活动坚持零和博弈的思维</w:t>
      </w:r>
    </w:p>
    <w:p w14:paraId="1AD7FA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②“大桌子”表明了联合国以集体协商的方式解决所有国际事务</w:t>
      </w:r>
    </w:p>
    <w:p w14:paraId="56410BE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③目前国际环境日趋复杂，一国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0"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综合国力是维护其国家利益的保障</w:t>
      </w:r>
    </w:p>
    <w:p w14:paraId="2E47046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④当今霸权主义有所上升，王毅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0"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表态代表美国之外其他国家的共同心声</w:t>
      </w:r>
    </w:p>
    <w:p w14:paraId="465271F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1B95BB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1968年，美国工程师提出“太空电站”构想：在太空建设太阳能电站，将电磁能无线传输到地面接收站。随着相关理论和技术的突破，2021年，中国首个空间太阳能电站实验基地在重庆开工建设。下列说法正确的是（   ）</w:t>
      </w:r>
    </w:p>
    <w:p w14:paraId="128C1FB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运用超前思维的“太空电站”构想，脱离了当时特定的社会历史条件</w:t>
      </w:r>
    </w:p>
    <w:p w14:paraId="6EF90A4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唯有突破太空太阳能发电及其无线传输等本质联系，才能建成太空电站</w:t>
      </w:r>
    </w:p>
    <w:p w14:paraId="1B02979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在远离地球的太空建设电站，其遵循的规律有别于地球上的物理运动规律</w:t>
      </w:r>
    </w:p>
    <w:p w14:paraId="54B74AD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从科学构想到技术突破再到实验验证，体现了科技发展的曲折性和前进性</w:t>
      </w:r>
    </w:p>
    <w:p w14:paraId="790F97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2024年春节前夕，湖北遭遇“天上是雨，落地为冰”极端天气，不少人受困高速公路。天寒地冻之际，有附近村民免费发放食物与开水，也有村民发现商机，提供有偿服务，泡好的方便面10元一桶，开水5元一杯，解决了众多受困者的燃眉之急。对此，认识正确的是（   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81" name="图片 100081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page number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B131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88EB70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①一方有难，八方支援，无私相助，宜大力提倡</w:t>
      </w:r>
    </w:p>
    <w:p w14:paraId="2C7CB31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②救人急难，有偿服务，兼顾多方利益，亦是雪中送炭</w:t>
      </w:r>
    </w:p>
    <w:p w14:paraId="1E9FA96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③有偿服务实属“趁冷打劫”，有违社会主义核心价值观</w:t>
      </w:r>
    </w:p>
    <w:p w14:paraId="73961CE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④无私相助，乐于奉献，是社会主义市场经济的基本要求</w:t>
      </w:r>
    </w:p>
    <w:p w14:paraId="13C7CEE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35BC861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老李丧偶后，独自抚养子女成人。子女大学毕业后赴外地工作定居。由于担心老无所依，老李与同小区居住的侄子李某订立了成年意定监护协议，约定由李某担任自己的意定监护人。关于该协议，说法正确的是（   ）</w:t>
      </w:r>
    </w:p>
    <w:p w14:paraId="471225A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①既然订立了该协议，李某就应该对老李履行赡养义务</w:t>
      </w:r>
    </w:p>
    <w:p w14:paraId="35E3108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②李某履行该协议时，应最大程度尊重老李的真实意愿</w:t>
      </w:r>
    </w:p>
    <w:p w14:paraId="4C538E6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③尽管订立了该协议，子女还是应尽可能常回家探望父亲</w:t>
      </w:r>
    </w:p>
    <w:p w14:paraId="2AB8A6D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④老李与社会脱节易上当受骗，未经子女同意不能订立该协议</w:t>
      </w:r>
    </w:p>
    <w:p w14:paraId="4CDC7C1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171D156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“远亲不如近邻。”关于处理相邻关系，正确的是（   ）</w:t>
      </w:r>
    </w:p>
    <w:p w14:paraId="4238DB8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小赵家的婴儿经常半夜啼哭吵醒楼下住户，小赵认为已关闭自家门窗，邻居应予包容</w:t>
      </w:r>
    </w:p>
    <w:p w14:paraId="4C2D6A8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小孙在阳台用农家肥种菜，产生的异味令四邻难以忍受，小孙认为在自家阳台种菜，没有妨碍他人</w:t>
      </w:r>
    </w:p>
    <w:p w14:paraId="453ED85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小李家的果树年年修剪，仍大面积遮挡邻居家窗户，被邻居投诉，小李认为果树种植在自家院坝，他人无权干涉</w:t>
      </w:r>
    </w:p>
    <w:p w14:paraId="3B37A9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小钱将自家入户门由向内开改为向外开，导致邻居出行通道狭窄，邻居要求整改，小钱认为自家房门改装与邻居无关</w:t>
      </w:r>
    </w:p>
    <w:p w14:paraId="5656F7AF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二、非选择题（本大题共2小题，共52分）。</w:t>
      </w:r>
    </w:p>
    <w:p w14:paraId="61F0A5A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楷体" w:hAnsi="楷体" w:eastAsia="楷体" w:cs="楷体"/>
          <w:sz w:val="21"/>
          <w:szCs w:val="21"/>
        </w:rPr>
        <w:t>今年是中华人民共和国成立75周年。中国始终是维护世界和平与发展的积极因素和坚定力量，从来没有因为“中国威胁论”而威胁世界和平与发展。中国的发展历经各种困难挑战走到今天，没有因为“中国崩溃论”而崩溃，也不会因为“中国见顶论”而见顶。</w:t>
      </w:r>
    </w:p>
    <w:p w14:paraId="6042F3F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材料一  几十年来，西方一直流传着关于中国发展的各种论调，如下表。</w:t>
      </w: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3155"/>
        <w:gridCol w:w="2107"/>
        <w:gridCol w:w="2613"/>
      </w:tblGrid>
      <w:tr w14:paraId="6D4F1A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DBEF05D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W w:w="319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FBE518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中国威胁论</w:t>
            </w:r>
          </w:p>
        </w:tc>
        <w:tc>
          <w:tcPr>
            <w:tcW w:w="213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074731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中国崩溃论</w:t>
            </w:r>
          </w:p>
        </w:tc>
        <w:tc>
          <w:tcPr>
            <w:tcW w:w="2640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344227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中国见顶论</w:t>
            </w:r>
          </w:p>
        </w:tc>
      </w:tr>
      <w:tr w14:paraId="767B27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0FF56AE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主要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A7CEF1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中国制度和发展模式的有效性对西方构成威胁；中国利用经济手段胁迫他国，影响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BF7D929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中国经济正在衰退，并开始崩溃，将拖累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B4628FD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随着人口红利消失，科技遭遇打压，经济被“脱钩断链”，中</w:t>
            </w:r>
          </w:p>
        </w:tc>
      </w:tr>
    </w:tbl>
    <w:p w14:paraId="6C2C58F0"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095" name="图片 100095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page number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E2CBE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3157"/>
        <w:gridCol w:w="2108"/>
        <w:gridCol w:w="2610"/>
      </w:tblGrid>
      <w:tr w14:paraId="040F59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" w:type="dxa"/>
            <w:tcBorders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56F768F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3195" w:type="dxa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F6D41E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国际公平秩序；中国低价倾销过剩产能，损害国际产业链供应链安全；中国军力增强威胁世界安全</w:t>
            </w:r>
          </w:p>
        </w:tc>
        <w:tc>
          <w:tcPr>
            <w:tcW w:w="2130" w:type="dxa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51F513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全球经济；中国的制度和体制必然被西方资本主义取代</w:t>
            </w:r>
          </w:p>
        </w:tc>
        <w:tc>
          <w:tcPr>
            <w:tcW w:w="2640" w:type="dxa"/>
            <w:tcBorders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EAC52D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国经济增速将放缓，经济总量永远不会超过美国，差距甚至会进一步拉大</w:t>
            </w:r>
          </w:p>
        </w:tc>
      </w:tr>
    </w:tbl>
    <w:p w14:paraId="0609EEB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材料二  面对上述论调，我们要坚持把自己的事情办好，推动经济发展质量变革、效率变革、动力变革，不断壮大我国经济实力、科技实力、综合国力。</w:t>
      </w:r>
    </w:p>
    <w:p w14:paraId="324236D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一般而言，劳动（包括劳动力数量和质量）、资本、技术是推动经济增长的核心要素，如图描述了2012—2050年我国GDP增长的动力分解及人均GDP的变化情况。</w:t>
      </w:r>
    </w:p>
    <w:p w14:paraId="0798E54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67150" cy="2228850"/>
            <wp:effectExtent l="0" t="0" r="0" b="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3CCF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注：2021—2023年为实际值；2025—2050年为潜在值。</w:t>
      </w:r>
    </w:p>
    <w:p w14:paraId="135B06A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材料三  我们党历来重视发展生产力，尤其重视通过科技进步发展生产力。毛泽东指出，“不搞科学技术，生产力无法提高。”邓小平提出，“科学技术是第一生产力。”习近平强调，“发展新质生产力是推动高质量发展的内在要求和重要着力点，必须继续做好创新这篇大文章，推动新质生产力加快发展”，“必须进一步全面深化改革，形成与之相适应的新型生产关系。”</w:t>
      </w:r>
    </w:p>
    <w:p w14:paraId="7170F47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）结合材料一，运用《政治与法治》《当代国际政治与经济》相关知识，批驳西方关于中国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0"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这些论调。</w:t>
      </w:r>
    </w:p>
    <w:p w14:paraId="4AEDA8C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）根据材料二图示，概括2012-2023年我国经济增长动力结构的演变特征。</w:t>
      </w:r>
    </w:p>
    <w:p w14:paraId="3A75CA8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）结合材料二，说明在人口红利逐步减少的背景下，达到2050年潜在GDP增长目标，我国应如何推动经济增长动力变革。</w:t>
      </w:r>
    </w:p>
    <w:p w14:paraId="5516BB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）结合材料三，运用社会历史发展规律的相关知识，说明中国经济发展能够行稳致远的根本原因。</w:t>
      </w:r>
    </w:p>
    <w:p w14:paraId="6CD1A66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楷体" w:hAnsi="楷体" w:eastAsia="楷体" w:cs="楷体"/>
          <w:sz w:val="21"/>
          <w:szCs w:val="21"/>
        </w:rPr>
        <w:t>材料一  新中国成立以来，我国高度重视科技发展，形成了科技创新的举国体制，科学技术发展取得巨大成就。但与西方发达国家相比，当前我国的科技水平还存在不小差距，特别在高端芯片、现代信息技术等领域还存在“卡脖子”问题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13" name="图片 100113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page number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E5CD8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CD7ED6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bookmarkStart w:id="0" w:name="_GoBack"/>
      <w:bookmarkEnd w:id="0"/>
      <w:r>
        <w:rPr>
          <w:rFonts w:ascii="楷体" w:hAnsi="楷体" w:eastAsia="楷体" w:cs="楷体"/>
          <w:sz w:val="21"/>
          <w:szCs w:val="21"/>
        </w:rPr>
        <w:t>材料二  为推进鸿蒙操作系统的开发和应用，解决“卡脖子”问题，华为公司一方面在核心技术、硬件设备、应用生态等层面加快专利布局，另一方面与各科技平台加强协作，推动鸿蒙生态的建设。在此过程中，央视网、支付宝、微信在越来越多的平台宣布启动鸿蒙原生应用开发，或与华为公司达成协议，共建鸿蒙生态。截至2024年4月，加入鸿蒙生态的应用已超过4000个。</w:t>
      </w:r>
    </w:p>
    <w:p w14:paraId="078EFFD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）结合材料一，运用《逻辑与思维》中的辩证否定观，谈谈解决当下我国“卡脖子”问题的主要思路。</w:t>
      </w:r>
    </w:p>
    <w:p w14:paraId="7F31E5B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）结合材料二，运用《法律与生活》相关知识，分析知识产权与合同制度对科技创新的积极作用。</w:t>
      </w:r>
    </w:p>
    <w:p w14:paraId="4B144D5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27" name="图片 100127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page number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BB27A"/>
    <w:sectPr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79C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22BD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B058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22883556"/>
    <w:rsid w:val="55CC4E45"/>
    <w:rsid w:val="6BF818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5230</Words>
  <Characters>5485</Characters>
  <Lines>0</Lines>
  <Paragraphs>0</Paragraphs>
  <TotalTime>0</TotalTime>
  <ScaleCrop>false</ScaleCrop>
  <LinksUpToDate>false</LinksUpToDate>
  <CharactersWithSpaces>5664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2026-02-10T06:38:00Z</dcterms:created>
  <dc:creator>Administrator</dc:creator>
  <cp:lastModifiedBy>上帝掷骰子吗</cp:lastModifiedBy>
  <dcterms:modified xsi:type="dcterms:W3CDTF">2026-02-10T06:56:21Z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299DCA47EE2E4AED941CCD9955EAC4F1_12</vt:lpwstr>
  </property>
</Properties>
</file>