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EC37F">
      <w:pPr>
        <w:spacing w:before="0" w:after="0" w:line="359" w:lineRule="exact"/>
        <w:ind w:left="1794" w:right="0" w:firstLine="0"/>
        <w:jc w:val="left"/>
        <w:rPr>
          <w:rFonts w:ascii="Times New Roman"/>
          <w:color w:val="000000"/>
          <w:spacing w:val="0"/>
          <w:sz w:val="32"/>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625472;mso-width-relative:page;mso-height-relative:page;" filled="f" o:preferrelative="t" stroked="f" coordsize="21600,21600">
            <v:path/>
            <v:fill on="f" focussize="0,0"/>
            <v:stroke on="f" joinstyle="miter"/>
            <v:imagedata r:id="rId11" o:title=""/>
            <o:lock v:ext="edit" aspectratio="t"/>
          </v:shape>
        </w:pict>
      </w:r>
      <w:r>
        <w:pict>
          <v:shape id="_x0000_s1028" o:spid="_x0000_s1028" o:spt="75" type="#_x0000_t75" style="position:absolute;left:0pt;margin-left:212.1pt;margin-top:473.3pt;height:5.75pt;width:5pt;mso-position-horizontal-relative:page;mso-position-vertical-relative:page;z-index:-251626496;mso-width-relative:page;mso-height-relative:page;" filled="f" o:preferrelative="t" stroked="f" coordsize="21600,21600">
            <v:path/>
            <v:fill on="f" focussize="0,0"/>
            <v:stroke on="f" joinstyle="miter"/>
            <v:imagedata r:id="rId12" o:title=""/>
            <o:lock v:ext="edit" aspectratio="t"/>
          </v:shape>
        </w:pict>
      </w:r>
      <w:r>
        <w:pict>
          <v:shape id="_x0000_s1029" o:spid="_x0000_s1029" o:spt="75" type="#_x0000_t75" style="position:absolute;left:0pt;margin-left:116.8pt;margin-top:769.7pt;height:2.75pt;width:2.75pt;mso-position-horizontal-relative:page;mso-position-vertical-relative:page;z-index:-251627520;mso-width-relative:page;mso-height-relative:page;" filled="f" o:preferrelative="t" stroked="f" coordsize="21600,21600">
            <v:path/>
            <v:fill on="f" focussize="0,0"/>
            <v:stroke on="f" joinstyle="miter"/>
            <v:imagedata r:id="rId13" o:title=""/>
            <o:lock v:ext="edit" aspectratio="t"/>
          </v:shape>
        </w:pict>
      </w:r>
      <w:r>
        <w:pict>
          <v:shape id="_x0000_s1030" o:spid="_x0000_s1030" o:spt="75" type="#_x0000_t75" style="position:absolute;left:0pt;margin-left:47pt;margin-top:726.2pt;height:34.25pt;width:384.65pt;mso-position-horizontal-relative:page;mso-position-vertical-relative:page;z-index:-251628544;mso-width-relative:page;mso-height-relative:page;" filled="f" o:preferrelative="t" stroked="f" coordsize="21600,21600">
            <v:path/>
            <v:fill on="f" focussize="0,0"/>
            <v:stroke on="f" joinstyle="miter"/>
            <v:imagedata r:id="rId14" o:title=""/>
            <o:lock v:ext="edit" aspectratio="t"/>
          </v:shape>
        </w:pict>
      </w: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0"/>
          <w:sz w:val="32"/>
        </w:rPr>
        <w:t>年湖南省普通高中学业水平选择性考试</w:t>
      </w:r>
    </w:p>
    <w:p w14:paraId="713DDB8B">
      <w:pPr>
        <w:spacing w:before="275" w:after="0" w:line="325" w:lineRule="exact"/>
        <w:ind w:left="4234" w:right="0" w:firstLine="0"/>
        <w:jc w:val="left"/>
        <w:rPr>
          <w:rFonts w:ascii="Times New Roman"/>
          <w:color w:val="000000"/>
          <w:spacing w:val="0"/>
          <w:sz w:val="32"/>
        </w:rPr>
      </w:pPr>
      <w:r>
        <w:rPr>
          <w:rFonts w:ascii="宋体" w:hAnsi="宋体" w:cs="宋体"/>
          <w:color w:val="000000"/>
          <w:spacing w:val="0"/>
          <w:sz w:val="32"/>
        </w:rPr>
        <w:t>思想政治</w:t>
      </w:r>
    </w:p>
    <w:p w14:paraId="28054650">
      <w:pPr>
        <w:spacing w:before="202" w:after="0" w:line="276" w:lineRule="exact"/>
        <w:ind w:left="0" w:right="0" w:firstLine="0"/>
        <w:jc w:val="left"/>
        <w:rPr>
          <w:rFonts w:ascii="Times New Roman"/>
          <w:color w:val="000000"/>
          <w:spacing w:val="0"/>
          <w:sz w:val="24"/>
        </w:rPr>
      </w:pPr>
      <w:r>
        <w:rPr>
          <w:rFonts w:ascii="宋体" w:hAnsi="宋体" w:cs="宋体"/>
          <w:color w:val="000000"/>
          <w:spacing w:val="3"/>
          <w:sz w:val="24"/>
        </w:rPr>
        <w:t>一、选择题：共</w:t>
      </w:r>
      <w:r>
        <w:rPr>
          <w:rFonts w:ascii="Times New Roman"/>
          <w:color w:val="000000"/>
          <w:spacing w:val="-2"/>
          <w:sz w:val="24"/>
        </w:rPr>
        <w:t xml:space="preserve"> </w:t>
      </w:r>
      <w:r>
        <w:rPr>
          <w:rFonts w:ascii="Times New Roman"/>
          <w:b/>
          <w:color w:val="000000"/>
          <w:spacing w:val="-1"/>
          <w:sz w:val="24"/>
        </w:rPr>
        <w:t>16</w:t>
      </w:r>
      <w:r>
        <w:rPr>
          <w:rFonts w:ascii="Times New Roman"/>
          <w:b/>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Times New Roman"/>
          <w:b/>
          <w:color w:val="000000"/>
          <w:spacing w:val="-1"/>
          <w:sz w:val="24"/>
        </w:rPr>
        <w:t>48</w:t>
      </w:r>
      <w:r>
        <w:rPr>
          <w:rFonts w:ascii="Times New Roman"/>
          <w:b/>
          <w:color w:val="000000"/>
          <w:spacing w:val="0"/>
          <w:sz w:val="24"/>
        </w:rPr>
        <w:t xml:space="preserve"> </w:t>
      </w:r>
      <w:r>
        <w:rPr>
          <w:rFonts w:ascii="宋体" w:hAnsi="宋体" w:cs="宋体"/>
          <w:color w:val="000000"/>
          <w:spacing w:val="1"/>
          <w:sz w:val="24"/>
        </w:rPr>
        <w:t>分。在每小题给出的四个选项中，只有一项是</w:t>
      </w:r>
    </w:p>
    <w:p w14:paraId="36229AAF">
      <w:pPr>
        <w:spacing w:before="103" w:after="0" w:line="250" w:lineRule="exact"/>
        <w:ind w:left="0" w:right="0" w:firstLine="0"/>
        <w:jc w:val="left"/>
        <w:rPr>
          <w:rFonts w:ascii="Times New Roman"/>
          <w:color w:val="000000"/>
          <w:spacing w:val="0"/>
          <w:sz w:val="24"/>
        </w:rPr>
      </w:pPr>
      <w:r>
        <w:rPr>
          <w:rFonts w:ascii="宋体" w:hAnsi="宋体" w:cs="宋体"/>
          <w:color w:val="000000"/>
          <w:spacing w:val="0"/>
          <w:sz w:val="24"/>
        </w:rPr>
        <w:t>符合题目要求的。</w:t>
      </w:r>
    </w:p>
    <w:p w14:paraId="3DDF29AC">
      <w:pPr>
        <w:spacing w:before="179" w:after="0" w:line="243" w:lineRule="exact"/>
        <w:ind w:left="0" w:right="0" w:firstLine="0"/>
        <w:jc w:val="left"/>
        <w:rPr>
          <w:rFonts w:ascii="Times New Roman"/>
          <w:color w:val="000000"/>
          <w:spacing w:val="0"/>
          <w:sz w:val="21"/>
        </w:rPr>
      </w:pPr>
      <w:r>
        <w:rPr>
          <w:rFonts w:ascii="Times New Roman"/>
          <w:color w:val="000000"/>
          <w:spacing w:val="0"/>
          <w:sz w:val="21"/>
        </w:rPr>
        <w:t xml:space="preserve">1. 1867 </w:t>
      </w:r>
      <w:r>
        <w:rPr>
          <w:rFonts w:ascii="宋体" w:hAnsi="宋体" w:cs="宋体"/>
          <w:color w:val="000000"/>
          <w:spacing w:val="0"/>
          <w:sz w:val="21"/>
        </w:rPr>
        <w:t>年，恩格斯在《资本论》第一卷出版时的书评里说过：一些读者“可能会以为他将从这本书里得知</w:t>
      </w:r>
    </w:p>
    <w:p w14:paraId="1252759C">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共产主义的千年王国到底是什么样子。谁指望得到这种乐趣，谁就大错特错了”。由此可知（</w:t>
      </w:r>
      <w:r>
        <w:rPr>
          <w:rFonts w:ascii="Times New Roman"/>
          <w:color w:val="000000"/>
          <w:spacing w:val="263"/>
          <w:sz w:val="21"/>
        </w:rPr>
        <w:t xml:space="preserve"> </w:t>
      </w:r>
      <w:r>
        <w:rPr>
          <w:rFonts w:ascii="宋体" w:hAnsi="宋体" w:cs="宋体"/>
          <w:color w:val="000000"/>
          <w:spacing w:val="0"/>
          <w:sz w:val="21"/>
        </w:rPr>
        <w:t>）</w:t>
      </w:r>
    </w:p>
    <w:p w14:paraId="7A32057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①展望未来社会时，马克思主义经典作家作出了具体描绘</w:t>
      </w:r>
    </w:p>
    <w:p w14:paraId="4BF6BED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②必须坚持马克思主义对于研究未来社会制度的科学方法</w:t>
      </w:r>
    </w:p>
    <w:p w14:paraId="1F0D011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③未来社会到底是什么样子，需要人们在实践中不断探索</w:t>
      </w:r>
    </w:p>
    <w:p w14:paraId="6BEB99C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④马克思主义经典作家当时并未认识和掌握社会发展规律</w:t>
      </w:r>
    </w:p>
    <w:p w14:paraId="687CE1F1">
      <w:pPr>
        <w:spacing w:before="240"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15E586E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中国式现代化是党领导人民在长期探索和实践中取得的重大成果。十八大以来，党在已有基础上继续前</w:t>
      </w:r>
    </w:p>
    <w:p w14:paraId="7795A95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进，坚持问题导向，围绕解决现代化建设中存在的突出矛盾和问题，全面深化改革，不断实现理论和实践</w:t>
      </w:r>
    </w:p>
    <w:p w14:paraId="30DB301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上的创新突破，成功推进和拓展了中国式现代化。这表明（</w:t>
      </w:r>
      <w:r>
        <w:rPr>
          <w:rFonts w:ascii="Times New Roman"/>
          <w:color w:val="000000"/>
          <w:spacing w:val="263"/>
          <w:sz w:val="21"/>
        </w:rPr>
        <w:t xml:space="preserve"> </w:t>
      </w:r>
      <w:r>
        <w:rPr>
          <w:rFonts w:ascii="宋体" w:hAnsi="宋体" w:cs="宋体"/>
          <w:color w:val="000000"/>
          <w:spacing w:val="0"/>
          <w:sz w:val="21"/>
        </w:rPr>
        <w:t>）</w:t>
      </w:r>
    </w:p>
    <w:p w14:paraId="7DB5A9E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①全面深化改革是推进中国式现代化的根本保证</w:t>
      </w:r>
    </w:p>
    <w:p w14:paraId="51EFD66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②推进中国式现代化要紧扣全面深化改革这一主题</w:t>
      </w:r>
    </w:p>
    <w:p w14:paraId="7C6FB56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③中国式现代化理论是科学社会主义的最新重大成果</w:t>
      </w:r>
    </w:p>
    <w:p w14:paraId="5771B68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④中国式现代化与全面深化改革紧密联系、内在统一</w:t>
      </w:r>
    </w:p>
    <w:p w14:paraId="16B0FE4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0A0F04C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3. </w:t>
      </w:r>
      <w:r>
        <w:rPr>
          <w:rFonts w:ascii="宋体"/>
          <w:color w:val="000000"/>
          <w:spacing w:val="0"/>
          <w:sz w:val="21"/>
        </w:rPr>
        <w:t>2025</w:t>
      </w:r>
      <w:r>
        <w:rPr>
          <w:rFonts w:ascii="Times New Roman"/>
          <w:color w:val="000000"/>
          <w:spacing w:val="-3"/>
          <w:sz w:val="21"/>
        </w:rPr>
        <w:t xml:space="preserve"> </w:t>
      </w:r>
      <w:r>
        <w:rPr>
          <w:rFonts w:ascii="宋体" w:hAnsi="宋体" w:cs="宋体"/>
          <w:color w:val="000000"/>
          <w:spacing w:val="0"/>
          <w:sz w:val="21"/>
        </w:rPr>
        <w:t>年</w:t>
      </w:r>
      <w:r>
        <w:rPr>
          <w:rFonts w:ascii="Times New Roman"/>
          <w:color w:val="000000"/>
          <w:spacing w:val="-3"/>
          <w:sz w:val="21"/>
        </w:rPr>
        <w:t xml:space="preserve"> </w:t>
      </w:r>
      <w:r>
        <w:rPr>
          <w:rFonts w:ascii="宋体"/>
          <w:color w:val="000000"/>
          <w:spacing w:val="0"/>
          <w:sz w:val="21"/>
        </w:rPr>
        <w:t>3</w:t>
      </w:r>
      <w:r>
        <w:rPr>
          <w:rFonts w:ascii="Times New Roman"/>
          <w:color w:val="000000"/>
          <w:spacing w:val="-3"/>
          <w:sz w:val="21"/>
        </w:rPr>
        <w:t xml:space="preserve"> </w:t>
      </w:r>
      <w:r>
        <w:rPr>
          <w:rFonts w:ascii="宋体" w:hAnsi="宋体" w:cs="宋体"/>
          <w:color w:val="000000"/>
          <w:spacing w:val="-4"/>
          <w:sz w:val="21"/>
        </w:rPr>
        <w:t>月，中共中央办公厅、国务院办公厅印发《提振消费专项行动方案》。为大力提振消费，全方位</w:t>
      </w:r>
    </w:p>
    <w:p w14:paraId="27FD0A9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扩大国内需求，以下举措作用路径正确的是（</w:t>
      </w:r>
      <w:r>
        <w:rPr>
          <w:rFonts w:ascii="Times New Roman"/>
          <w:color w:val="000000"/>
          <w:spacing w:val="263"/>
          <w:sz w:val="21"/>
        </w:rPr>
        <w:t xml:space="preserve"> </w:t>
      </w:r>
      <w:r>
        <w:rPr>
          <w:rFonts w:ascii="宋体" w:hAnsi="宋体" w:cs="宋体"/>
          <w:color w:val="000000"/>
          <w:spacing w:val="0"/>
          <w:sz w:val="21"/>
        </w:rPr>
        <w:t>）</w:t>
      </w:r>
    </w:p>
    <w:p w14:paraId="50F7723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①扩大服务业开放→增加服务供给→推动优质服务进口→释放服务消费潜力</w:t>
      </w:r>
    </w:p>
    <w:p w14:paraId="01C9808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②创新服务消费场景→优化服务供给→更好满足居民消费→释放服务消费潜力</w:t>
      </w:r>
    </w:p>
    <w:p w14:paraId="1704F7F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③完善消费领域信用体系→营造放心消费环境→强化消费能力→扩大国内需求</w:t>
      </w:r>
    </w:p>
    <w:p w14:paraId="29C9BD5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④落实带薪休假制度→保障劳动者休假权益→增强居民消费意愿→扩大国内需求</w:t>
      </w:r>
    </w:p>
    <w:p w14:paraId="3D061A1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189DFF1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为有效防范化解地方政府债务风险，2024</w:t>
      </w:r>
      <w:r>
        <w:rPr>
          <w:rFonts w:ascii="Times New Roman"/>
          <w:color w:val="000000"/>
          <w:spacing w:val="-1"/>
          <w:sz w:val="21"/>
        </w:rPr>
        <w:t xml:space="preserve"> </w:t>
      </w:r>
      <w:r>
        <w:rPr>
          <w:rFonts w:ascii="宋体" w:hAnsi="宋体" w:cs="宋体"/>
          <w:color w:val="000000"/>
          <w:spacing w:val="0"/>
          <w:sz w:val="21"/>
        </w:rPr>
        <w:t>年</w:t>
      </w:r>
      <w:r>
        <w:rPr>
          <w:rFonts w:ascii="Times New Roman"/>
          <w:color w:val="000000"/>
          <w:spacing w:val="-1"/>
          <w:sz w:val="21"/>
        </w:rPr>
        <w:t xml:space="preserve"> </w:t>
      </w:r>
      <w:r>
        <w:rPr>
          <w:rFonts w:ascii="宋体"/>
          <w:color w:val="000000"/>
          <w:spacing w:val="0"/>
          <w:sz w:val="21"/>
        </w:rPr>
        <w:t>11</w:t>
      </w:r>
      <w:r>
        <w:rPr>
          <w:rFonts w:ascii="Times New Roman"/>
          <w:color w:val="000000"/>
          <w:spacing w:val="-1"/>
          <w:sz w:val="21"/>
        </w:rPr>
        <w:t xml:space="preserve"> </w:t>
      </w:r>
      <w:r>
        <w:rPr>
          <w:rFonts w:ascii="宋体" w:hAnsi="宋体" w:cs="宋体"/>
          <w:color w:val="000000"/>
          <w:spacing w:val="0"/>
          <w:sz w:val="21"/>
        </w:rPr>
        <w:t>月，财政部对外公布了“6+4+2”的化债“组合拳”，具</w:t>
      </w:r>
    </w:p>
    <w:p w14:paraId="7442133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体安排如下表。</w:t>
      </w:r>
    </w:p>
    <w:p w14:paraId="0D395210">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化债规模</w:t>
      </w:r>
      <w:r>
        <w:rPr>
          <w:rFonts w:ascii="Times New Roman"/>
          <w:color w:val="000000"/>
          <w:spacing w:val="188"/>
          <w:sz w:val="21"/>
        </w:rPr>
        <w:t xml:space="preserve"> </w:t>
      </w:r>
      <w:r>
        <w:rPr>
          <w:rFonts w:ascii="宋体" w:hAnsi="宋体" w:cs="宋体"/>
          <w:color w:val="000000"/>
          <w:spacing w:val="0"/>
          <w:sz w:val="21"/>
        </w:rPr>
        <w:t>具体安排</w:t>
      </w:r>
    </w:p>
    <w:p w14:paraId="725EB02F">
      <w:pPr>
        <w:spacing w:before="37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2EC3F29B">
      <w:pPr>
        <w:spacing w:before="0" w:after="0" w:line="0" w:lineRule="atLeast"/>
        <w:ind w:left="0" w:right="0" w:firstLine="0"/>
        <w:jc w:val="left"/>
        <w:rPr>
          <w:rFonts w:ascii="Arial"/>
          <w:color w:val="FF0000"/>
          <w:spacing w:val="0"/>
          <w:sz w:val="2"/>
        </w:rPr>
      </w:pPr>
    </w:p>
    <w:p w14:paraId="5D1CEA36">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CA2C102">
      <w:pPr>
        <w:pStyle w:val="6"/>
        <w:sectPr>
          <w:headerReference r:id="rId6" w:type="first"/>
          <w:footerReference r:id="rId9" w:type="first"/>
          <w:headerReference r:id="rId4" w:type="default"/>
          <w:footerReference r:id="rId7" w:type="default"/>
          <w:headerReference r:id="rId5" w:type="even"/>
          <w:footerReference r:id="rId8" w:type="even"/>
          <w:pgSz w:w="11900" w:h="16840"/>
          <w:pgMar w:top="1464" w:right="100" w:bottom="0" w:left="1080" w:header="720" w:footer="720" w:gutter="0"/>
          <w:pgNumType w:start="1"/>
          <w:cols w:space="720" w:num="1"/>
          <w:docGrid w:linePitch="1" w:charSpace="0"/>
        </w:sectPr>
      </w:pPr>
    </w:p>
    <w:p w14:paraId="67E31C2A">
      <w:pPr>
        <w:spacing w:before="0" w:after="0" w:line="0" w:lineRule="atLeast"/>
        <w:ind w:left="0" w:right="0" w:firstLine="0"/>
        <w:jc w:val="left"/>
        <w:rPr>
          <w:rFonts w:ascii="Arial"/>
          <w:color w:val="FF0000"/>
          <w:spacing w:val="0"/>
          <w:sz w:val="2"/>
        </w:rPr>
      </w:pPr>
    </w:p>
    <w:p w14:paraId="44FD906F">
      <w:pPr>
        <w:spacing w:before="0" w:after="0" w:line="243" w:lineRule="exact"/>
        <w:ind w:left="0" w:right="0" w:firstLine="0"/>
        <w:jc w:val="left"/>
        <w:rPr>
          <w:rFonts w:ascii="Times New Roman"/>
          <w:color w:val="000000"/>
          <w:spacing w:val="0"/>
          <w:sz w:val="21"/>
        </w:rPr>
      </w:pPr>
      <w:bookmarkStart w:id="1" w:name="br2"/>
      <w:bookmarkEnd w:id="1"/>
      <w:r>
        <w:pict>
          <v:shape id="_x0000_s1031" o:spid="_x0000_s1031" o:spt="75" type="#_x0000_t75" style="position:absolute;left:0pt;margin-left:47pt;margin-top:61.6pt;height:148.05pt;width:429.95pt;mso-position-horizontal-relative:page;mso-position-vertical-relative:page;z-index:-251629568;mso-width-relative:page;mso-height-relative:page;" filled="f" o:preferrelative="t" stroked="f" coordsize="21600,21600">
            <v:path/>
            <v:fill on="f" focussize="0,0"/>
            <v:stroke on="f"/>
            <v:imagedata r:id="rId15" croptop="7731f" cropright="-7718f" o:title=""/>
            <o:lock v:ext="edit" aspectratio="t"/>
          </v:shape>
        </w:pict>
      </w:r>
      <w:r>
        <w:pict>
          <v:shape id="_x0000_s1032" o:spid="_x0000_s1032" o:spt="75" type="#_x0000_t75" style="position:absolute;left:0pt;margin-left:212.1pt;margin-top:473.3pt;height:5.75pt;width:5pt;mso-position-horizontal-relative:page;mso-position-vertical-relative:page;z-index:-251630592;mso-width-relative:page;mso-height-relative:page;" filled="f" o:preferrelative="t" stroked="f" coordsize="21600,21600">
            <v:path/>
            <v:fill on="f" focussize="0,0"/>
            <v:stroke on="f" joinstyle="miter"/>
            <v:imagedata r:id="rId12" o:title=""/>
            <o:lock v:ext="edit" aspectratio="t"/>
          </v:shape>
        </w:pict>
      </w:r>
      <w:r>
        <w:pict>
          <v:shape id="_x0000_s1033" o:spid="_x0000_s1033" o:spt="75" type="#_x0000_t75" style="position:absolute;left:0pt;margin-left:116.8pt;margin-top:769.7pt;height:2.75pt;width:2.75pt;mso-position-horizontal-relative:page;mso-position-vertical-relative:page;z-index:-251631616;mso-width-relative:page;mso-height-relative:page;" filled="f" o:preferrelative="t" stroked="f" coordsize="21600,21600">
            <v:path/>
            <v:fill on="f" focussize="0,0"/>
            <v:stroke on="f" joinstyle="miter"/>
            <v:imagedata r:id="rId16" o:title=""/>
            <o:lock v:ext="edit" aspectratio="t"/>
          </v:shape>
        </w:pict>
      </w:r>
      <w:r>
        <w:rPr>
          <w:rFonts w:ascii="Times New Roman"/>
          <w:color w:val="000000"/>
          <w:spacing w:val="0"/>
          <w:sz w:val="21"/>
        </w:rPr>
        <w:t xml:space="preserve">6 </w:t>
      </w:r>
      <w:r>
        <w:rPr>
          <w:rFonts w:ascii="宋体" w:hAnsi="宋体" w:cs="宋体"/>
          <w:color w:val="000000"/>
          <w:spacing w:val="0"/>
          <w:sz w:val="21"/>
        </w:rPr>
        <w:t>万亿</w:t>
      </w:r>
      <w:r>
        <w:rPr>
          <w:rFonts w:ascii="Times New Roman"/>
          <w:color w:val="000000"/>
          <w:spacing w:val="450"/>
          <w:sz w:val="21"/>
        </w:rPr>
        <w:t xml:space="preserve"> </w:t>
      </w:r>
      <w:r>
        <w:rPr>
          <w:rFonts w:ascii="Times New Roman"/>
          <w:color w:val="000000"/>
          <w:spacing w:val="0"/>
          <w:sz w:val="21"/>
        </w:rPr>
        <w:t xml:space="preserve">2024-2026 </w:t>
      </w:r>
      <w:r>
        <w:rPr>
          <w:rFonts w:ascii="宋体" w:hAnsi="宋体" w:cs="宋体"/>
          <w:color w:val="000000"/>
          <w:spacing w:val="0"/>
          <w:sz w:val="21"/>
        </w:rPr>
        <w:t>年每年发行</w:t>
      </w:r>
      <w:r>
        <w:rPr>
          <w:rFonts w:ascii="Times New Roman"/>
          <w:color w:val="000000"/>
          <w:spacing w:val="0"/>
          <w:sz w:val="21"/>
        </w:rPr>
        <w:t xml:space="preserve"> 2 </w:t>
      </w:r>
      <w:r>
        <w:rPr>
          <w:rFonts w:ascii="宋体" w:hAnsi="宋体" w:cs="宋体"/>
          <w:color w:val="000000"/>
          <w:spacing w:val="0"/>
          <w:sz w:val="21"/>
        </w:rPr>
        <w:t>万亿元地方专项债券来置换隐性债务。</w:t>
      </w:r>
    </w:p>
    <w:p w14:paraId="4FC8151A">
      <w:pPr>
        <w:spacing w:before="399" w:after="0" w:line="234" w:lineRule="exact"/>
        <w:ind w:left="0" w:right="3277" w:firstLine="1080"/>
        <w:jc w:val="left"/>
        <w:rPr>
          <w:rFonts w:ascii="Times New Roman"/>
          <w:color w:val="000000"/>
          <w:spacing w:val="0"/>
          <w:sz w:val="21"/>
        </w:rPr>
      </w:pPr>
      <w:r>
        <w:rPr>
          <w:rFonts w:ascii="Times New Roman"/>
          <w:color w:val="000000"/>
          <w:spacing w:val="0"/>
          <w:sz w:val="21"/>
        </w:rPr>
        <w:t xml:space="preserve">2024-2028 </w:t>
      </w:r>
      <w:r>
        <w:rPr>
          <w:rFonts w:ascii="宋体" w:hAnsi="宋体" w:cs="宋体"/>
          <w:color w:val="000000"/>
          <w:spacing w:val="0"/>
          <w:sz w:val="21"/>
        </w:rPr>
        <w:t>年连续五年每年从新增地方专项债中安排</w:t>
      </w:r>
      <w:r>
        <w:rPr>
          <w:rFonts w:ascii="Times New Roman"/>
          <w:color w:val="000000"/>
          <w:spacing w:val="0"/>
          <w:sz w:val="21"/>
        </w:rPr>
        <w:t xml:space="preserve"> 8000 </w:t>
      </w:r>
      <w:r>
        <w:rPr>
          <w:rFonts w:ascii="宋体" w:hAnsi="宋体" w:cs="宋体"/>
          <w:color w:val="000000"/>
          <w:spacing w:val="0"/>
          <w:sz w:val="21"/>
        </w:rPr>
        <w:t xml:space="preserve">亿元，累计 </w:t>
      </w:r>
      <w:r>
        <w:rPr>
          <w:rFonts w:ascii="Times New Roman"/>
          <w:color w:val="000000"/>
          <w:spacing w:val="0"/>
          <w:sz w:val="21"/>
        </w:rPr>
        <w:t xml:space="preserve">4 </w:t>
      </w:r>
      <w:r>
        <w:rPr>
          <w:rFonts w:ascii="宋体" w:hAnsi="宋体" w:cs="宋体"/>
          <w:color w:val="000000"/>
          <w:spacing w:val="0"/>
          <w:sz w:val="21"/>
        </w:rPr>
        <w:t>万亿</w:t>
      </w:r>
    </w:p>
    <w:p w14:paraId="7530182B">
      <w:pPr>
        <w:spacing w:before="0" w:after="0" w:line="243" w:lineRule="exact"/>
        <w:ind w:left="1080" w:right="0" w:firstLine="0"/>
        <w:jc w:val="left"/>
        <w:rPr>
          <w:rFonts w:ascii="Times New Roman"/>
          <w:color w:val="000000"/>
          <w:spacing w:val="0"/>
          <w:sz w:val="21"/>
        </w:rPr>
      </w:pPr>
      <w:r>
        <w:rPr>
          <w:rFonts w:ascii="宋体" w:hAnsi="宋体" w:cs="宋体"/>
          <w:color w:val="000000"/>
          <w:spacing w:val="0"/>
          <w:sz w:val="21"/>
        </w:rPr>
        <w:t>置换</w:t>
      </w:r>
      <w:r>
        <w:rPr>
          <w:rFonts w:ascii="Times New Roman"/>
          <w:color w:val="000000"/>
          <w:spacing w:val="0"/>
          <w:sz w:val="21"/>
        </w:rPr>
        <w:t xml:space="preserve"> 4 </w:t>
      </w:r>
      <w:r>
        <w:rPr>
          <w:rFonts w:ascii="宋体" w:hAnsi="宋体" w:cs="宋体"/>
          <w:color w:val="000000"/>
          <w:spacing w:val="0"/>
          <w:sz w:val="21"/>
        </w:rPr>
        <w:t>万亿元隐性债务。</w:t>
      </w:r>
    </w:p>
    <w:p w14:paraId="3E6D8758">
      <w:pPr>
        <w:spacing w:before="399" w:after="0" w:line="234" w:lineRule="exact"/>
        <w:ind w:left="0" w:right="3267" w:firstLine="1080"/>
        <w:jc w:val="left"/>
        <w:rPr>
          <w:rFonts w:ascii="Times New Roman"/>
          <w:color w:val="000000"/>
          <w:spacing w:val="0"/>
          <w:sz w:val="21"/>
        </w:rPr>
      </w:pPr>
      <w:r>
        <w:rPr>
          <w:rFonts w:ascii="Times New Roman"/>
          <w:color w:val="000000"/>
          <w:spacing w:val="0"/>
          <w:sz w:val="21"/>
        </w:rPr>
        <w:t>2029</w:t>
      </w:r>
      <w:r>
        <w:rPr>
          <w:rFonts w:ascii="Times New Roman"/>
          <w:color w:val="000000"/>
          <w:spacing w:val="-4"/>
          <w:sz w:val="21"/>
        </w:rPr>
        <w:t xml:space="preserve"> </w:t>
      </w:r>
      <w:r>
        <w:rPr>
          <w:rFonts w:ascii="宋体" w:hAnsi="宋体" w:cs="宋体"/>
          <w:color w:val="000000"/>
          <w:spacing w:val="0"/>
          <w:sz w:val="21"/>
        </w:rPr>
        <w:t>年及以后年度到期的棚户区改造隐性债务</w:t>
      </w:r>
      <w:r>
        <w:rPr>
          <w:rFonts w:ascii="Times New Roman"/>
          <w:color w:val="000000"/>
          <w:spacing w:val="-4"/>
          <w:sz w:val="21"/>
        </w:rPr>
        <w:t xml:space="preserve"> </w:t>
      </w:r>
      <w:r>
        <w:rPr>
          <w:rFonts w:ascii="Times New Roman"/>
          <w:color w:val="000000"/>
          <w:spacing w:val="0"/>
          <w:sz w:val="21"/>
        </w:rPr>
        <w:t>2</w:t>
      </w:r>
      <w:r>
        <w:rPr>
          <w:rFonts w:ascii="Times New Roman"/>
          <w:color w:val="000000"/>
          <w:spacing w:val="-4"/>
          <w:sz w:val="21"/>
        </w:rPr>
        <w:t xml:space="preserve"> </w:t>
      </w:r>
      <w:r>
        <w:rPr>
          <w:rFonts w:ascii="宋体" w:hAnsi="宋体" w:cs="宋体"/>
          <w:color w:val="000000"/>
          <w:spacing w:val="-2"/>
          <w:sz w:val="21"/>
        </w:rPr>
        <w:t xml:space="preserve">万亿元，仍按原合同 </w:t>
      </w:r>
      <w:r>
        <w:rPr>
          <w:rFonts w:ascii="Times New Roman"/>
          <w:color w:val="000000"/>
          <w:spacing w:val="0"/>
          <w:sz w:val="21"/>
        </w:rPr>
        <w:t xml:space="preserve">2 </w:t>
      </w:r>
      <w:r>
        <w:rPr>
          <w:rFonts w:ascii="宋体" w:hAnsi="宋体" w:cs="宋体"/>
          <w:color w:val="000000"/>
          <w:spacing w:val="0"/>
          <w:sz w:val="21"/>
        </w:rPr>
        <w:t>万亿</w:t>
      </w:r>
    </w:p>
    <w:p w14:paraId="6AD61542">
      <w:pPr>
        <w:spacing w:before="3" w:after="0" w:line="220" w:lineRule="exact"/>
        <w:ind w:left="1080" w:right="0" w:firstLine="0"/>
        <w:jc w:val="left"/>
        <w:rPr>
          <w:rFonts w:ascii="Times New Roman"/>
          <w:color w:val="000000"/>
          <w:spacing w:val="0"/>
          <w:sz w:val="21"/>
        </w:rPr>
      </w:pPr>
      <w:r>
        <w:rPr>
          <w:rFonts w:ascii="宋体" w:hAnsi="宋体" w:cs="宋体"/>
          <w:color w:val="000000"/>
          <w:spacing w:val="0"/>
          <w:sz w:val="21"/>
        </w:rPr>
        <w:t>偿还。</w:t>
      </w:r>
    </w:p>
    <w:p w14:paraId="1DA73816">
      <w:pPr>
        <w:spacing w:before="338" w:after="0" w:line="220" w:lineRule="exact"/>
        <w:ind w:left="0" w:right="0" w:firstLine="0"/>
        <w:jc w:val="left"/>
        <w:rPr>
          <w:rFonts w:ascii="Times New Roman"/>
          <w:color w:val="000000"/>
          <w:spacing w:val="0"/>
          <w:sz w:val="21"/>
        </w:rPr>
      </w:pPr>
      <w:r>
        <w:rPr>
          <w:rFonts w:ascii="宋体" w:hAnsi="宋体" w:cs="宋体"/>
          <w:color w:val="000000"/>
          <w:spacing w:val="-6"/>
          <w:sz w:val="21"/>
        </w:rPr>
        <w:t>由材料推断，“组合拳”的实施可（</w:t>
      </w:r>
      <w:r>
        <w:rPr>
          <w:rFonts w:ascii="Times New Roman"/>
          <w:color w:val="000000"/>
          <w:spacing w:val="269"/>
          <w:sz w:val="21"/>
        </w:rPr>
        <w:t xml:space="preserve"> </w:t>
      </w:r>
      <w:r>
        <w:rPr>
          <w:rFonts w:ascii="宋体" w:hAnsi="宋体" w:cs="宋体"/>
          <w:color w:val="000000"/>
          <w:spacing w:val="0"/>
          <w:sz w:val="21"/>
        </w:rPr>
        <w:t>）</w:t>
      </w:r>
    </w:p>
    <w:p w14:paraId="45488DB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①优化地方政府债务期限结构</w:t>
      </w:r>
    </w:p>
    <w:p w14:paraId="0B5B530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②增强地方政府债务偿还能力</w:t>
      </w:r>
    </w:p>
    <w:p w14:paraId="7B16B48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③向货币市场注入更多流动性</w:t>
      </w:r>
    </w:p>
    <w:p w14:paraId="276A595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④降低地方政府的负债率</w:t>
      </w:r>
    </w:p>
    <w:p w14:paraId="07D873CA">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2260FA8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制定实施中央八项规定，是党在新时代的徙木立信之举，必须常抓不懈、久久为功。</w:t>
      </w:r>
      <w:r>
        <w:rPr>
          <w:rFonts w:ascii="Times New Roman"/>
          <w:color w:val="000000"/>
          <w:spacing w:val="0"/>
          <w:sz w:val="21"/>
        </w:rPr>
        <w:t>2024</w:t>
      </w:r>
      <w:r>
        <w:rPr>
          <w:rFonts w:ascii="Times New Roman"/>
          <w:color w:val="000000"/>
          <w:spacing w:val="-1"/>
          <w:sz w:val="21"/>
        </w:rPr>
        <w:t xml:space="preserve"> </w:t>
      </w:r>
      <w:r>
        <w:rPr>
          <w:rFonts w:ascii="宋体" w:hAnsi="宋体" w:cs="宋体"/>
          <w:color w:val="000000"/>
          <w:spacing w:val="0"/>
          <w:sz w:val="21"/>
        </w:rPr>
        <w:t>年国家统计局</w:t>
      </w:r>
    </w:p>
    <w:p w14:paraId="314138B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的调查显示，</w:t>
      </w:r>
      <w:r>
        <w:rPr>
          <w:rFonts w:ascii="Times New Roman"/>
          <w:color w:val="000000"/>
          <w:spacing w:val="0"/>
          <w:sz w:val="21"/>
        </w:rPr>
        <w:t>94.9%</w:t>
      </w:r>
      <w:r>
        <w:rPr>
          <w:rFonts w:ascii="宋体" w:hAnsi="宋体" w:cs="宋体"/>
          <w:color w:val="000000"/>
          <w:spacing w:val="-1"/>
          <w:sz w:val="21"/>
        </w:rPr>
        <w:t>的受访群众对中央八项规定精神贯彻落实成效表示肯定。</w:t>
      </w:r>
      <w:r>
        <w:rPr>
          <w:rFonts w:ascii="Times New Roman"/>
          <w:color w:val="000000"/>
          <w:spacing w:val="0"/>
          <w:sz w:val="21"/>
        </w:rPr>
        <w:t>2025</w:t>
      </w:r>
      <w:r>
        <w:rPr>
          <w:rFonts w:ascii="Times New Roman"/>
          <w:color w:val="000000"/>
          <w:spacing w:val="-7"/>
          <w:sz w:val="21"/>
        </w:rPr>
        <w:t xml:space="preserve"> </w:t>
      </w:r>
      <w:r>
        <w:rPr>
          <w:rFonts w:ascii="宋体" w:hAnsi="宋体" w:cs="宋体"/>
          <w:color w:val="000000"/>
          <w:spacing w:val="-3"/>
          <w:sz w:val="21"/>
        </w:rPr>
        <w:t>年全国两会后，深入贯彻</w:t>
      </w:r>
    </w:p>
    <w:p w14:paraId="5187860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中央八项规定精神学习教育在全党开展。这表明（</w:t>
      </w:r>
      <w:r>
        <w:rPr>
          <w:rFonts w:ascii="Times New Roman"/>
          <w:color w:val="000000"/>
          <w:spacing w:val="263"/>
          <w:sz w:val="21"/>
        </w:rPr>
        <w:t xml:space="preserve"> </w:t>
      </w:r>
      <w:r>
        <w:rPr>
          <w:rFonts w:ascii="宋体" w:hAnsi="宋体" w:cs="宋体"/>
          <w:color w:val="000000"/>
          <w:spacing w:val="0"/>
          <w:sz w:val="21"/>
        </w:rPr>
        <w:t>）</w:t>
      </w:r>
    </w:p>
    <w:p w14:paraId="036915C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①新时代党的建设要以作风建设为根基</w:t>
      </w:r>
    </w:p>
    <w:p w14:paraId="525F52B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②党对作风问题任何时候都不能掉以轻心</w:t>
      </w:r>
    </w:p>
    <w:p w14:paraId="5516B4F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③中央八项规定是改进作风的最高标准和目的</w:t>
      </w:r>
    </w:p>
    <w:p w14:paraId="76618D0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④加强党的作风建设有利于巩固党长期执政的群众基础</w:t>
      </w:r>
    </w:p>
    <w:p w14:paraId="4E2A794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120E811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6. 2025</w:t>
      </w:r>
      <w:r>
        <w:rPr>
          <w:rFonts w:ascii="Times New Roman"/>
          <w:color w:val="000000"/>
          <w:spacing w:val="-4"/>
          <w:sz w:val="21"/>
        </w:rPr>
        <w:t xml:space="preserve"> </w:t>
      </w:r>
      <w:r>
        <w:rPr>
          <w:rFonts w:ascii="宋体" w:hAnsi="宋体" w:cs="宋体"/>
          <w:color w:val="000000"/>
          <w:spacing w:val="0"/>
          <w:sz w:val="21"/>
        </w:rPr>
        <w:t>年</w:t>
      </w:r>
      <w:r>
        <w:rPr>
          <w:rFonts w:ascii="Times New Roman"/>
          <w:color w:val="000000"/>
          <w:spacing w:val="-4"/>
          <w:sz w:val="21"/>
        </w:rPr>
        <w:t xml:space="preserve"> </w:t>
      </w:r>
      <w:r>
        <w:rPr>
          <w:rFonts w:ascii="Times New Roman"/>
          <w:color w:val="000000"/>
          <w:spacing w:val="0"/>
          <w:sz w:val="21"/>
        </w:rPr>
        <w:t>4</w:t>
      </w:r>
      <w:r>
        <w:rPr>
          <w:rFonts w:ascii="Times New Roman"/>
          <w:color w:val="000000"/>
          <w:spacing w:val="-4"/>
          <w:sz w:val="21"/>
        </w:rPr>
        <w:t xml:space="preserve"> </w:t>
      </w:r>
      <w:r>
        <w:rPr>
          <w:rFonts w:ascii="宋体" w:hAnsi="宋体" w:cs="宋体"/>
          <w:color w:val="000000"/>
          <w:spacing w:val="0"/>
          <w:sz w:val="21"/>
        </w:rPr>
        <w:t>月</w:t>
      </w:r>
      <w:r>
        <w:rPr>
          <w:rFonts w:ascii="Times New Roman"/>
          <w:color w:val="000000"/>
          <w:spacing w:val="-4"/>
          <w:sz w:val="21"/>
        </w:rPr>
        <w:t xml:space="preserve"> </w:t>
      </w:r>
      <w:r>
        <w:rPr>
          <w:rFonts w:ascii="Times New Roman"/>
          <w:color w:val="000000"/>
          <w:spacing w:val="0"/>
          <w:sz w:val="21"/>
        </w:rPr>
        <w:t>30</w:t>
      </w:r>
      <w:r>
        <w:rPr>
          <w:rFonts w:ascii="Times New Roman"/>
          <w:color w:val="000000"/>
          <w:spacing w:val="-4"/>
          <w:sz w:val="21"/>
        </w:rPr>
        <w:t xml:space="preserve"> </w:t>
      </w:r>
      <w:r>
        <w:rPr>
          <w:rFonts w:ascii="宋体" w:hAnsi="宋体" w:cs="宋体"/>
          <w:color w:val="000000"/>
          <w:spacing w:val="-1"/>
          <w:sz w:val="21"/>
        </w:rPr>
        <w:t>日通过的《中华人民共和国民营经济促进法》将“毫不动摇巩固和发展公有制经济，毫不</w:t>
      </w:r>
    </w:p>
    <w:p w14:paraId="675EF1E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动摇鼓励、支持、引导非公有制经济发展”和“促进民营经济健康发展和民营经济人士健康成长”写入其</w:t>
      </w:r>
    </w:p>
    <w:p w14:paraId="41E0B50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中。该法的出台（</w:t>
      </w:r>
      <w:r>
        <w:rPr>
          <w:rFonts w:ascii="Times New Roman"/>
          <w:color w:val="000000"/>
          <w:spacing w:val="263"/>
          <w:sz w:val="21"/>
        </w:rPr>
        <w:t xml:space="preserve"> </w:t>
      </w:r>
      <w:r>
        <w:rPr>
          <w:rFonts w:ascii="宋体" w:hAnsi="宋体" w:cs="宋体"/>
          <w:color w:val="000000"/>
          <w:spacing w:val="0"/>
          <w:sz w:val="21"/>
        </w:rPr>
        <w:t>）</w:t>
      </w:r>
    </w:p>
    <w:p w14:paraId="75AF6C0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①科学合理配置了民营企业的权力与责任</w:t>
      </w:r>
    </w:p>
    <w:p w14:paraId="086F681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②能稳定民营经济发展预期、提振市场信心</w:t>
      </w:r>
    </w:p>
    <w:p w14:paraId="7AA0C68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③有利于引导和规范民营经济组织的经营活动</w:t>
      </w:r>
    </w:p>
    <w:p w14:paraId="54F11A2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④完善了法律体系，确保民营企业高质量发展</w:t>
      </w:r>
    </w:p>
    <w:p w14:paraId="5EEA7F2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5B1CA9A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不同时期的影视动画作品赋予哪吒各异的形象，从《大闹天宫》中哪吒的登场，到《哪吒之魔童闹海》</w:t>
      </w:r>
    </w:p>
    <w:p w14:paraId="618631A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的创新演绎，每一次呈现都蕴含独特的美学价值与文化意义。材料蕴含的哲理有（</w:t>
      </w:r>
      <w:r>
        <w:rPr>
          <w:rFonts w:ascii="Times New Roman"/>
          <w:color w:val="000000"/>
          <w:spacing w:val="263"/>
          <w:sz w:val="21"/>
        </w:rPr>
        <w:t xml:space="preserve"> </w:t>
      </w:r>
      <w:r>
        <w:rPr>
          <w:rFonts w:ascii="宋体" w:hAnsi="宋体" w:cs="宋体"/>
          <w:color w:val="000000"/>
          <w:spacing w:val="0"/>
          <w:sz w:val="21"/>
        </w:rPr>
        <w:t>）</w:t>
      </w:r>
    </w:p>
    <w:p w14:paraId="75066D0D">
      <w:pPr>
        <w:spacing w:before="7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4874736D">
      <w:pPr>
        <w:spacing w:before="0" w:after="0" w:line="0" w:lineRule="atLeast"/>
        <w:ind w:left="0" w:right="0" w:firstLine="0"/>
        <w:jc w:val="left"/>
        <w:rPr>
          <w:rFonts w:ascii="Arial"/>
          <w:color w:val="FF0000"/>
          <w:spacing w:val="0"/>
          <w:sz w:val="2"/>
        </w:rPr>
      </w:pPr>
    </w:p>
    <w:p w14:paraId="177EC6C3">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E705F90">
      <w:pPr>
        <w:pStyle w:val="6"/>
        <w:sectPr>
          <w:pgSz w:w="11900" w:h="16840"/>
          <w:pgMar w:top="1530" w:right="100" w:bottom="0" w:left="1080" w:header="720" w:footer="720" w:gutter="0"/>
          <w:pgNumType w:start="1"/>
          <w:cols w:space="720" w:num="1"/>
          <w:docGrid w:linePitch="1" w:charSpace="0"/>
        </w:sectPr>
      </w:pPr>
    </w:p>
    <w:p w14:paraId="183EFDE6">
      <w:pPr>
        <w:spacing w:before="0" w:after="0" w:line="0" w:lineRule="atLeast"/>
        <w:ind w:left="0" w:right="0" w:firstLine="0"/>
        <w:jc w:val="left"/>
        <w:rPr>
          <w:rFonts w:ascii="Arial"/>
          <w:color w:val="FF0000"/>
          <w:spacing w:val="0"/>
          <w:sz w:val="2"/>
        </w:rPr>
      </w:pPr>
    </w:p>
    <w:p w14:paraId="75352AD7">
      <w:pPr>
        <w:spacing w:before="0" w:after="0" w:line="220" w:lineRule="exact"/>
        <w:ind w:left="0" w:right="0" w:firstLine="0"/>
        <w:jc w:val="left"/>
        <w:rPr>
          <w:rFonts w:ascii="Times New Roman"/>
          <w:color w:val="000000"/>
          <w:spacing w:val="0"/>
          <w:sz w:val="21"/>
        </w:rPr>
      </w:pPr>
      <w:bookmarkStart w:id="2" w:name="br3"/>
      <w:bookmarkEnd w:id="2"/>
      <w:r>
        <w:pict>
          <v:shape id="_x0000_s1036" o:spid="_x0000_s1036" o:spt="75" type="#_x0000_t75" style="position:absolute;left:0pt;margin-left:53pt;margin-top:66.55pt;height:77.8pt;width:414.65pt;mso-position-horizontal-relative:page;mso-position-vertical-relative:page;z-index:-251632640;mso-width-relative:page;mso-height-relative:page;" filled="f" o:preferrelative="t" stroked="f" coordsize="21600,21600">
            <v:path/>
            <v:fill on="f" focussize="0,0"/>
            <v:stroke on="f" joinstyle="miter"/>
            <v:imagedata r:id="rId17" o:title=""/>
            <o:lock v:ext="edit" aspectratio="t"/>
          </v:shape>
        </w:pict>
      </w:r>
      <w:r>
        <w:pict>
          <v:shape id="_x0000_s1037" o:spid="_x0000_s1037" o:spt="75" type="#_x0000_t75" style="position:absolute;left:0pt;margin-left:212.1pt;margin-top:473.3pt;height:5.75pt;width:5pt;mso-position-horizontal-relative:page;mso-position-vertical-relative:page;z-index:-251633664;mso-width-relative:page;mso-height-relative:page;" filled="f" o:preferrelative="t" stroked="f" coordsize="21600,21600">
            <v:path/>
            <v:fill on="f" focussize="0,0"/>
            <v:stroke on="f" joinstyle="miter"/>
            <v:imagedata r:id="rId12" o:title=""/>
            <o:lock v:ext="edit" aspectratio="t"/>
          </v:shape>
        </w:pict>
      </w:r>
      <w:r>
        <w:pict>
          <v:shape id="_x0000_s1038" o:spid="_x0000_s1038" o:spt="75" type="#_x0000_t75" style="position:absolute;left:0pt;margin-left:116.8pt;margin-top:769.7pt;height:2.75pt;width:2.75pt;mso-position-horizontal-relative:page;mso-position-vertical-relative:page;z-index:-251634688;mso-width-relative:page;mso-height-relative:page;" filled="f" o:preferrelative="t" stroked="f" coordsize="21600,21600">
            <v:path/>
            <v:fill on="f" focussize="0,0"/>
            <v:stroke on="f" joinstyle="miter"/>
            <v:imagedata r:id="rId18" o:title=""/>
            <o:lock v:ext="edit" aspectratio="t"/>
          </v:shape>
        </w:pict>
      </w:r>
      <w:r>
        <w:pict>
          <v:shape id="_x0000_s1039" o:spid="_x0000_s1039" o:spt="75" type="#_x0000_t75" style="position:absolute;left:0pt;margin-left:179.1pt;margin-top:405.75pt;height:16.25pt;width:12.5pt;mso-position-horizontal-relative:page;mso-position-vertical-relative:page;z-index:-251635712;mso-width-relative:page;mso-height-relative:page;" filled="f" o:preferrelative="t" stroked="f" coordsize="21600,21600">
            <v:path/>
            <v:fill on="f" focussize="0,0"/>
            <v:stroke on="f" joinstyle="miter"/>
            <v:imagedata r:id="rId19" o:title=""/>
            <o:lock v:ext="edit" aspectratio="t"/>
          </v:shape>
        </w:pict>
      </w:r>
      <w:r>
        <w:pict>
          <v:shape id="_x0000_s1040" o:spid="_x0000_s1040" o:spt="75" type="#_x0000_t75" style="position:absolute;left:0pt;margin-left:252.6pt;margin-top:569.35pt;height:16.25pt;width:12.5pt;mso-position-horizontal-relative:page;mso-position-vertical-relative:page;z-index:-251636736;mso-width-relative:page;mso-height-relative:page;" filled="f" o:preferrelative="t" stroked="f" coordsize="21600,21600">
            <v:path/>
            <v:fill on="f" focussize="0,0"/>
            <v:stroke on="f" joinstyle="miter"/>
            <v:imagedata r:id="rId19" o:title=""/>
            <o:lock v:ext="edit" aspectratio="t"/>
          </v:shape>
        </w:pict>
      </w:r>
      <w:r>
        <w:rPr>
          <w:rFonts w:ascii="宋体" w:hAnsi="宋体" w:cs="宋体"/>
          <w:color w:val="000000"/>
          <w:spacing w:val="0"/>
          <w:sz w:val="21"/>
        </w:rPr>
        <w:t>①同中有异的哪吒形象体现了矛盾的对立统一</w:t>
      </w:r>
    </w:p>
    <w:p w14:paraId="4C47DB2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②生动的哪吒形象是创作者对现实生活的直接反映</w:t>
      </w:r>
    </w:p>
    <w:p w14:paraId="64FFCF0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③社会环境的发展与变迁决定哪吒形象的创新演绎</w:t>
      </w:r>
    </w:p>
    <w:p w14:paraId="101653F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④哪吒形象的演变经历从否定到肯定再到否定之否定的过程</w:t>
      </w:r>
    </w:p>
    <w:p w14:paraId="54E10CF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503334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古桥如诗，现代桥梁如画，古今辉映。从石板小桥流水潺潺，到钢铁长虹横卧云空，再到友谊的桥梁连</w:t>
      </w:r>
    </w:p>
    <w:p w14:paraId="0BFF71B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接人心，站在一座座“桥”上，可以看见一个既古老又现代的中国，看见一个以创新之力真诚拥抱世界的</w:t>
      </w:r>
    </w:p>
    <w:p w14:paraId="47757E2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中国。这体现了（</w:t>
      </w:r>
      <w:r>
        <w:rPr>
          <w:rFonts w:ascii="Times New Roman"/>
          <w:color w:val="000000"/>
          <w:spacing w:val="263"/>
          <w:sz w:val="21"/>
        </w:rPr>
        <w:t xml:space="preserve"> </w:t>
      </w:r>
      <w:r>
        <w:rPr>
          <w:rFonts w:ascii="宋体" w:hAnsi="宋体" w:cs="宋体"/>
          <w:color w:val="000000"/>
          <w:spacing w:val="0"/>
          <w:sz w:val="21"/>
        </w:rPr>
        <w:t>）</w:t>
      </w:r>
    </w:p>
    <w:p w14:paraId="3AA23B1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①石板小桥与桥是部分与整体的关系</w:t>
      </w:r>
    </w:p>
    <w:p w14:paraId="7CA755A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②“桥”是窗口，反映了中国与世界的相互联系</w:t>
      </w:r>
    </w:p>
    <w:p w14:paraId="19E5182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③古桥矗立在历史深处，属于发展历程中的旧事物</w:t>
      </w:r>
    </w:p>
    <w:p w14:paraId="709D13E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④古今之桥是实践活动创造</w:t>
      </w:r>
      <w:r>
        <w:rPr>
          <w:rFonts w:ascii="Times New Roman"/>
          <w:color w:val="000000"/>
          <w:spacing w:val="158"/>
          <w:sz w:val="21"/>
        </w:rPr>
        <w:t xml:space="preserve"> </w:t>
      </w:r>
      <w:r>
        <w:rPr>
          <w:rFonts w:ascii="宋体" w:hAnsi="宋体" w:cs="宋体"/>
          <w:color w:val="000000"/>
          <w:spacing w:val="0"/>
          <w:sz w:val="21"/>
        </w:rPr>
        <w:t>带有人的精神意象的事物</w:t>
      </w:r>
    </w:p>
    <w:p w14:paraId="48D1C18A">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6CB9321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9. 2025</w:t>
      </w:r>
      <w:r>
        <w:rPr>
          <w:rFonts w:ascii="Times New Roman"/>
          <w:color w:val="000000"/>
          <w:spacing w:val="-6"/>
          <w:sz w:val="21"/>
        </w:rPr>
        <w:t xml:space="preserve"> </w:t>
      </w:r>
      <w:r>
        <w:rPr>
          <w:rFonts w:ascii="宋体" w:hAnsi="宋体" w:cs="宋体"/>
          <w:color w:val="000000"/>
          <w:spacing w:val="0"/>
          <w:sz w:val="21"/>
        </w:rPr>
        <w:t>年是中国人民抗日战争和世界反法西斯战争胜利</w:t>
      </w:r>
      <w:r>
        <w:rPr>
          <w:rFonts w:ascii="Times New Roman"/>
          <w:color w:val="000000"/>
          <w:spacing w:val="-6"/>
          <w:sz w:val="21"/>
        </w:rPr>
        <w:t xml:space="preserve"> </w:t>
      </w:r>
      <w:r>
        <w:rPr>
          <w:rFonts w:ascii="Times New Roman"/>
          <w:color w:val="000000"/>
          <w:spacing w:val="0"/>
          <w:sz w:val="21"/>
        </w:rPr>
        <w:t>80</w:t>
      </w:r>
      <w:r>
        <w:rPr>
          <w:rFonts w:ascii="Times New Roman"/>
          <w:color w:val="000000"/>
          <w:spacing w:val="-6"/>
          <w:sz w:val="21"/>
        </w:rPr>
        <w:t xml:space="preserve"> </w:t>
      </w:r>
      <w:r>
        <w:rPr>
          <w:rFonts w:ascii="宋体" w:hAnsi="宋体" w:cs="宋体"/>
          <w:color w:val="000000"/>
          <w:spacing w:val="-2"/>
          <w:sz w:val="21"/>
        </w:rPr>
        <w:t>周年。抗战中，十多万湖湘子弟兵怀着极大民族</w:t>
      </w:r>
    </w:p>
    <w:p w14:paraId="5792B1B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义愤、浴血奋战，以身许国，为夺取全国抗日战争胜利作出了重要贡献。伟大抗战精神的锻造形成，凝聚</w:t>
      </w:r>
    </w:p>
    <w:p w14:paraId="62CB391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着湖南儿女的血性担当。这启示（</w:t>
      </w:r>
      <w:r>
        <w:rPr>
          <w:rFonts w:ascii="Times New Roman"/>
          <w:color w:val="000000"/>
          <w:spacing w:val="263"/>
          <w:sz w:val="21"/>
        </w:rPr>
        <w:t xml:space="preserve"> </w:t>
      </w:r>
      <w:r>
        <w:rPr>
          <w:rFonts w:ascii="宋体" w:hAnsi="宋体" w:cs="宋体"/>
          <w:color w:val="000000"/>
          <w:spacing w:val="0"/>
          <w:sz w:val="21"/>
        </w:rPr>
        <w:t>）</w:t>
      </w:r>
    </w:p>
    <w:p w14:paraId="7A0DDE2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①不屈的民族精神是在风雨中经受磨炼而不断发展的</w:t>
      </w:r>
    </w:p>
    <w:p w14:paraId="04D323D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②爱国主义是动员和鼓舞中国人民团结奋斗的一面旗帜</w:t>
      </w:r>
    </w:p>
    <w:p w14:paraId="6AA7FC4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③抗战精神已融入湖湘传统文化忠诚与担当</w:t>
      </w:r>
      <w:r>
        <w:rPr>
          <w:rFonts w:ascii="Times New Roman"/>
          <w:color w:val="000000"/>
          <w:spacing w:val="158"/>
          <w:sz w:val="21"/>
        </w:rPr>
        <w:t xml:space="preserve"> </w:t>
      </w:r>
      <w:r>
        <w:rPr>
          <w:rFonts w:ascii="宋体" w:hAnsi="宋体" w:cs="宋体"/>
          <w:color w:val="000000"/>
          <w:spacing w:val="0"/>
          <w:sz w:val="21"/>
        </w:rPr>
        <w:t>优良品格中</w:t>
      </w:r>
    </w:p>
    <w:p w14:paraId="72FA1D3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④爱国主义流淌在中华民族血脉之中，是锻造抗战精神的载体</w:t>
      </w:r>
    </w:p>
    <w:p w14:paraId="1FE3B2A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28F7DEE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2"/>
          <w:sz w:val="21"/>
        </w:rPr>
        <w:t>雁翎翅、百花袍，手持方天画戟，坐跨嘶风赤兔马，定睛看，是一款“吕布”机甲潮玩：曲声流转、音</w:t>
      </w:r>
    </w:p>
    <w:p w14:paraId="6003D7E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韵悠长，侧耳听，是一套“大观园”拼装八音盒。潮玩惊艳破圈，不仅“圈粉”国内消费者，还走红海外，</w:t>
      </w:r>
    </w:p>
    <w:p w14:paraId="0C98131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展示了中华文化的魅力。材料表明（</w:t>
      </w:r>
      <w:r>
        <w:rPr>
          <w:rFonts w:ascii="Times New Roman"/>
          <w:color w:val="000000"/>
          <w:spacing w:val="263"/>
          <w:sz w:val="21"/>
        </w:rPr>
        <w:t xml:space="preserve"> </w:t>
      </w:r>
      <w:r>
        <w:rPr>
          <w:rFonts w:ascii="宋体" w:hAnsi="宋体" w:cs="宋体"/>
          <w:color w:val="000000"/>
          <w:spacing w:val="0"/>
          <w:sz w:val="21"/>
        </w:rPr>
        <w:t>）</w:t>
      </w:r>
    </w:p>
    <w:p w14:paraId="19000F5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①具有时代风尚的潮玩文化是经济社会发展的派生物</w:t>
      </w:r>
    </w:p>
    <w:p w14:paraId="29A29D3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②积淀数千载的中华文化为潮玩产品的创新提供灵感</w:t>
      </w:r>
    </w:p>
    <w:p w14:paraId="6E9FBF3E">
      <w:pPr>
        <w:spacing w:before="43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19C73929">
      <w:pPr>
        <w:spacing w:before="0" w:after="0" w:line="0" w:lineRule="atLeast"/>
        <w:ind w:left="0" w:right="0" w:firstLine="0"/>
        <w:jc w:val="left"/>
        <w:rPr>
          <w:rFonts w:ascii="Arial"/>
          <w:color w:val="FF0000"/>
          <w:spacing w:val="0"/>
          <w:sz w:val="2"/>
        </w:rPr>
      </w:pPr>
    </w:p>
    <w:p w14:paraId="35A75024">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E6322CD">
      <w:pPr>
        <w:pStyle w:val="6"/>
        <w:sectPr>
          <w:pgSz w:w="11900" w:h="16840"/>
          <w:pgMar w:top="3012" w:right="100" w:bottom="0" w:left="1080" w:header="720" w:footer="720" w:gutter="0"/>
          <w:pgNumType w:start="1"/>
          <w:cols w:space="720" w:num="1"/>
          <w:docGrid w:linePitch="1" w:charSpace="0"/>
        </w:sectPr>
      </w:pPr>
    </w:p>
    <w:p w14:paraId="7D98C046">
      <w:pPr>
        <w:spacing w:before="0" w:after="0" w:line="0" w:lineRule="atLeast"/>
        <w:ind w:left="0" w:right="0" w:firstLine="0"/>
        <w:jc w:val="left"/>
        <w:rPr>
          <w:rFonts w:ascii="Arial"/>
          <w:color w:val="FF0000"/>
          <w:spacing w:val="0"/>
          <w:sz w:val="2"/>
        </w:rPr>
      </w:pPr>
    </w:p>
    <w:p w14:paraId="3F25F714">
      <w:pPr>
        <w:spacing w:before="0" w:after="0" w:line="220" w:lineRule="exact"/>
        <w:ind w:left="0" w:right="0" w:firstLine="0"/>
        <w:jc w:val="left"/>
        <w:rPr>
          <w:rFonts w:ascii="Times New Roman"/>
          <w:color w:val="000000"/>
          <w:spacing w:val="0"/>
          <w:sz w:val="21"/>
        </w:rPr>
      </w:pPr>
      <w:bookmarkStart w:id="3" w:name="br4"/>
      <w:bookmarkEnd w:id="3"/>
      <w:r>
        <w:pict>
          <v:shape id="_x0000_s1043" o:spid="_x0000_s1043" o:spt="75" type="#_x0000_t75" style="position:absolute;left:0pt;margin-left:404.15pt;margin-top:72.55pt;height:2.75pt;width:2.75pt;mso-position-horizontal-relative:page;mso-position-vertical-relative:page;z-index:-251637760;mso-width-relative:page;mso-height-relative:page;" filled="f" o:preferrelative="t" stroked="f" coordsize="21600,21600">
            <v:path/>
            <v:fill on="f" focussize="0,0"/>
            <v:stroke on="f" joinstyle="miter"/>
            <v:imagedata r:id="rId11" o:title=""/>
            <o:lock v:ext="edit" aspectratio="t"/>
          </v:shape>
        </w:pict>
      </w:r>
      <w:r>
        <w:pict>
          <v:shape id="_x0000_s1044" o:spid="_x0000_s1044" o:spt="75" type="#_x0000_t75" style="position:absolute;left:0pt;margin-left:212.1pt;margin-top:473.3pt;height:5.75pt;width:5pt;mso-position-horizontal-relative:page;mso-position-vertical-relative:page;z-index:-251638784;mso-width-relative:page;mso-height-relative:page;" filled="f" o:preferrelative="t" stroked="f" coordsize="21600,21600">
            <v:path/>
            <v:fill on="f" focussize="0,0"/>
            <v:stroke on="f" joinstyle="miter"/>
            <v:imagedata r:id="rId12" o:title=""/>
            <o:lock v:ext="edit" aspectratio="t"/>
          </v:shape>
        </w:pict>
      </w:r>
      <w:r>
        <w:pict>
          <v:shape id="_x0000_s1045" o:spid="_x0000_s1045" o:spt="75" type="#_x0000_t75" style="position:absolute;left:0pt;margin-left:116.8pt;margin-top:769.7pt;height:2.75pt;width:2.75pt;mso-position-horizontal-relative:page;mso-position-vertical-relative:page;z-index:-251639808;mso-width-relative:page;mso-height-relative:page;" filled="f" o:preferrelative="t" stroked="f" coordsize="21600,21600">
            <v:path/>
            <v:fill on="f" focussize="0,0"/>
            <v:stroke on="f" joinstyle="miter"/>
            <v:imagedata r:id="rId16" o:title=""/>
            <o:lock v:ext="edit" aspectratio="t"/>
          </v:shape>
        </w:pict>
      </w:r>
      <w:r>
        <w:rPr>
          <w:rFonts w:ascii="宋体" w:hAnsi="宋体" w:cs="宋体"/>
          <w:color w:val="000000"/>
          <w:spacing w:val="0"/>
          <w:sz w:val="21"/>
        </w:rPr>
        <w:t>③丰富文化表达方式是优秀潮玩产品走红海外的根源</w:t>
      </w:r>
    </w:p>
    <w:p w14:paraId="5BB59F4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④国潮出海能够在文明互鉴中增强中华文化的影响力</w:t>
      </w:r>
    </w:p>
    <w:p w14:paraId="44125D03">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09C5A8A7">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4"/>
          <w:sz w:val="21"/>
        </w:rPr>
        <w:t xml:space="preserve"> </w:t>
      </w:r>
      <w:r>
        <w:rPr>
          <w:rFonts w:ascii="宋体"/>
          <w:color w:val="000000"/>
          <w:spacing w:val="0"/>
          <w:sz w:val="21"/>
        </w:rPr>
        <w:t>2024</w:t>
      </w:r>
      <w:r>
        <w:rPr>
          <w:rFonts w:ascii="Times New Roman"/>
          <w:color w:val="000000"/>
          <w:spacing w:val="-9"/>
          <w:sz w:val="21"/>
        </w:rPr>
        <w:t xml:space="preserve"> </w:t>
      </w:r>
      <w:r>
        <w:rPr>
          <w:rFonts w:ascii="宋体" w:hAnsi="宋体" w:cs="宋体"/>
          <w:color w:val="000000"/>
          <w:spacing w:val="-1"/>
          <w:sz w:val="21"/>
        </w:rPr>
        <w:t>年，经联合国教科文组织保护非物质文化遗产政府间委员会第</w:t>
      </w:r>
      <w:r>
        <w:rPr>
          <w:rFonts w:ascii="Times New Roman"/>
          <w:color w:val="000000"/>
          <w:spacing w:val="-8"/>
          <w:sz w:val="21"/>
        </w:rPr>
        <w:t xml:space="preserve"> </w:t>
      </w:r>
      <w:r>
        <w:rPr>
          <w:rFonts w:ascii="宋体"/>
          <w:color w:val="000000"/>
          <w:spacing w:val="0"/>
          <w:sz w:val="21"/>
        </w:rPr>
        <w:t>19</w:t>
      </w:r>
      <w:r>
        <w:rPr>
          <w:rFonts w:ascii="Times New Roman"/>
          <w:color w:val="000000"/>
          <w:spacing w:val="-9"/>
          <w:sz w:val="21"/>
        </w:rPr>
        <w:t xml:space="preserve"> </w:t>
      </w:r>
      <w:r>
        <w:rPr>
          <w:rFonts w:ascii="宋体" w:hAnsi="宋体" w:cs="宋体"/>
          <w:color w:val="000000"/>
          <w:spacing w:val="-7"/>
          <w:sz w:val="21"/>
        </w:rPr>
        <w:t>届常会评审通过，“春节——中国</w:t>
      </w:r>
    </w:p>
    <w:p w14:paraId="06D743B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人庆祝传统新年的社会实践”被列入联合国教科文组织人类非物质文化遗产代表作名录。此前，第</w:t>
      </w:r>
      <w:r>
        <w:rPr>
          <w:rFonts w:ascii="Times New Roman"/>
          <w:color w:val="000000"/>
          <w:spacing w:val="-2"/>
          <w:sz w:val="21"/>
        </w:rPr>
        <w:t xml:space="preserve"> </w:t>
      </w:r>
      <w:r>
        <w:rPr>
          <w:rFonts w:ascii="宋体"/>
          <w:color w:val="000000"/>
          <w:spacing w:val="0"/>
          <w:sz w:val="21"/>
        </w:rPr>
        <w:t>78</w:t>
      </w:r>
      <w:r>
        <w:rPr>
          <w:rFonts w:ascii="Times New Roman"/>
          <w:color w:val="000000"/>
          <w:spacing w:val="-2"/>
          <w:sz w:val="21"/>
        </w:rPr>
        <w:t xml:space="preserve"> </w:t>
      </w:r>
      <w:r>
        <w:rPr>
          <w:rFonts w:ascii="宋体" w:hAnsi="宋体" w:cs="宋体"/>
          <w:color w:val="000000"/>
          <w:spacing w:val="0"/>
          <w:sz w:val="21"/>
        </w:rPr>
        <w:t>届联</w:t>
      </w:r>
    </w:p>
    <w:p w14:paraId="3AB0E25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合国大会将春节确定为联合国假日。下列说法正确的是（</w:t>
      </w:r>
      <w:r>
        <w:rPr>
          <w:rFonts w:ascii="Times New Roman"/>
          <w:color w:val="000000"/>
          <w:spacing w:val="263"/>
          <w:sz w:val="21"/>
        </w:rPr>
        <w:t xml:space="preserve"> </w:t>
      </w:r>
      <w:r>
        <w:rPr>
          <w:rFonts w:ascii="宋体" w:hAnsi="宋体" w:cs="宋体"/>
          <w:color w:val="000000"/>
          <w:spacing w:val="0"/>
          <w:sz w:val="21"/>
        </w:rPr>
        <w:t>）</w:t>
      </w:r>
    </w:p>
    <w:p w14:paraId="60DAAAB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春节申遗成功反映了联合国组织在变革全球治理体系中发挥主导作用</w:t>
      </w:r>
      <w:r>
        <w:rPr>
          <w:rFonts w:ascii="Times New Roman"/>
          <w:color w:val="000000"/>
          <w:spacing w:val="58"/>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在非物质文化遗产保护领域，</w:t>
      </w:r>
    </w:p>
    <w:p w14:paraId="262BAB4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联合国教科文组织是国际社会的基石之一</w:t>
      </w:r>
    </w:p>
    <w:p w14:paraId="71784BD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春节申遗成功后，联合国教科文组织应敦促会员国将春节列为法定假日</w:t>
      </w:r>
      <w:r>
        <w:rPr>
          <w:rFonts w:ascii="Times New Roman"/>
          <w:color w:val="000000"/>
          <w:spacing w:val="280"/>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将春节列入人类非物质</w:t>
      </w:r>
    </w:p>
    <w:p w14:paraId="1B3E337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文化遗产代表作名录是联合国教科文组织自主性的体现</w:t>
      </w:r>
    </w:p>
    <w:p w14:paraId="5FA66CA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0"/>
          <w:sz w:val="21"/>
        </w:rPr>
        <w:t>如果以</w:t>
      </w:r>
      <w:r>
        <w:rPr>
          <w:rFonts w:ascii="Times New Roman"/>
          <w:color w:val="000000"/>
          <w:spacing w:val="0"/>
          <w:sz w:val="21"/>
        </w:rPr>
        <w:t xml:space="preserve"> 15 </w:t>
      </w:r>
      <w:r>
        <w:rPr>
          <w:rFonts w:ascii="宋体" w:hAnsi="宋体" w:cs="宋体"/>
          <w:color w:val="000000"/>
          <w:spacing w:val="0"/>
          <w:sz w:val="21"/>
        </w:rPr>
        <w:t>世纪末新航路开辟作为起点，经济全球化已经走过了</w:t>
      </w:r>
      <w:r>
        <w:rPr>
          <w:rFonts w:ascii="Times New Roman"/>
          <w:color w:val="000000"/>
          <w:spacing w:val="0"/>
          <w:sz w:val="21"/>
        </w:rPr>
        <w:t xml:space="preserve"> 500 </w:t>
      </w:r>
      <w:r>
        <w:rPr>
          <w:rFonts w:ascii="宋体" w:hAnsi="宋体" w:cs="宋体"/>
          <w:color w:val="000000"/>
          <w:spacing w:val="0"/>
          <w:sz w:val="21"/>
        </w:rPr>
        <w:t>多年。时至今日，经济全球化遭遇</w:t>
      </w:r>
    </w:p>
    <w:p w14:paraId="14A44A94">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了意想不到的挫折，面临巨大的阻力。“经济全球化还能维续向前吗？”有观点认为“一体化的世界就在那</w:t>
      </w:r>
    </w:p>
    <w:p w14:paraId="7014691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儿，谁拒绝这个世界，这个世界也会拒绝他”。对材料理解正确的是（</w:t>
      </w:r>
      <w:r>
        <w:rPr>
          <w:rFonts w:ascii="Times New Roman"/>
          <w:color w:val="000000"/>
          <w:spacing w:val="263"/>
          <w:sz w:val="21"/>
        </w:rPr>
        <w:t xml:space="preserve"> </w:t>
      </w:r>
      <w:r>
        <w:rPr>
          <w:rFonts w:ascii="宋体" w:hAnsi="宋体" w:cs="宋体"/>
          <w:color w:val="000000"/>
          <w:spacing w:val="0"/>
          <w:sz w:val="21"/>
        </w:rPr>
        <w:t>）</w:t>
      </w:r>
    </w:p>
    <w:p w14:paraId="684E79F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①要建设联动型世界经济，凝聚全球经济互动合力</w:t>
      </w:r>
    </w:p>
    <w:p w14:paraId="2FD432F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②倡导普惠包容的经济全球化，须顺应各国利益诉求</w:t>
      </w:r>
    </w:p>
    <w:p w14:paraId="2FFCFE0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③经济全球化符合经济规律，是社会生产力发展的客观要求</w:t>
      </w:r>
    </w:p>
    <w:p w14:paraId="4AF840A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④充分发挥各国的比较优势，是经济全球化加速发展的根本动因</w:t>
      </w:r>
    </w:p>
    <w:p w14:paraId="269BDEA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0FD8EE5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周某用婚后工资买了一辆新电瓶车。某晚，他</w:t>
      </w:r>
      <w:r>
        <w:rPr>
          <w:rFonts w:ascii="Times New Roman"/>
          <w:color w:val="000000"/>
          <w:spacing w:val="0"/>
          <w:sz w:val="21"/>
        </w:rPr>
        <w:t xml:space="preserve"> 15 </w:t>
      </w:r>
      <w:r>
        <w:rPr>
          <w:rFonts w:ascii="宋体" w:hAnsi="宋体" w:cs="宋体"/>
          <w:color w:val="000000"/>
          <w:spacing w:val="0"/>
          <w:sz w:val="21"/>
        </w:rPr>
        <w:t>岁儿子违规在家给该车充电，因电瓶车产品缺陷引发</w:t>
      </w:r>
    </w:p>
    <w:p w14:paraId="2A7AA3F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火灾，造成邻居陈某财产损失。两家对赔偿有分歧，陈某将周某和电瓶车生产商诉至法院。除特定情形外，</w:t>
      </w:r>
    </w:p>
    <w:p w14:paraId="3457BFB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本案中（</w:t>
      </w:r>
      <w:r>
        <w:rPr>
          <w:rFonts w:ascii="Times New Roman"/>
          <w:color w:val="000000"/>
          <w:spacing w:val="263"/>
          <w:sz w:val="21"/>
        </w:rPr>
        <w:t xml:space="preserve"> </w:t>
      </w:r>
      <w:r>
        <w:rPr>
          <w:rFonts w:ascii="宋体" w:hAnsi="宋体" w:cs="宋体"/>
          <w:color w:val="000000"/>
          <w:spacing w:val="0"/>
          <w:sz w:val="21"/>
        </w:rPr>
        <w:t>）</w:t>
      </w:r>
    </w:p>
    <w:p w14:paraId="14EF377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①陈某应提交相关证据证明其财产因火灾受到了损失</w:t>
      </w:r>
    </w:p>
    <w:p w14:paraId="649DE77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②电瓶车生产商即使主观上无过错也应承担赔偿责任</w:t>
      </w:r>
    </w:p>
    <w:p w14:paraId="3C19DAB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③若电瓶车系周某以个人名义购买则其为周某个人财产</w:t>
      </w:r>
    </w:p>
    <w:p w14:paraId="6D0942E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④因火灾系周某的儿子私自充电导致，周某不承担责任</w:t>
      </w:r>
    </w:p>
    <w:p w14:paraId="2712BD5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5291239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2"/>
          <w:sz w:val="21"/>
        </w:rPr>
        <w:t>赵某家的石墙因连日暴雨倒塌，导致邻居李某地里的茶树被埋，双方就赔偿争执不下。村调委会积极为</w:t>
      </w:r>
    </w:p>
    <w:p w14:paraId="3BC1470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双方当事人搭建沟通桥梁，既释法析理，又从情感上引导双方换位思考，最终赵某和李某达成调解协议，</w:t>
      </w:r>
    </w:p>
    <w:p w14:paraId="6FF7F88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一起矛盾被化解在“茶园地头”。本案例中（</w:t>
      </w:r>
      <w:r>
        <w:rPr>
          <w:rFonts w:ascii="Times New Roman"/>
          <w:color w:val="000000"/>
          <w:spacing w:val="263"/>
          <w:sz w:val="21"/>
        </w:rPr>
        <w:t xml:space="preserve"> </w:t>
      </w:r>
      <w:r>
        <w:rPr>
          <w:rFonts w:ascii="宋体" w:hAnsi="宋体" w:cs="宋体"/>
          <w:color w:val="000000"/>
          <w:spacing w:val="0"/>
          <w:sz w:val="21"/>
        </w:rPr>
        <w:t>）</w:t>
      </w:r>
    </w:p>
    <w:p w14:paraId="66685E4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①李某的茶树被埋，因此赵某应该赔偿李某不动产的损失</w:t>
      </w:r>
    </w:p>
    <w:p w14:paraId="586A6C26">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4CF95235">
      <w:pPr>
        <w:spacing w:before="0" w:after="0" w:line="0" w:lineRule="atLeast"/>
        <w:ind w:left="0" w:right="0" w:firstLine="0"/>
        <w:jc w:val="left"/>
        <w:rPr>
          <w:rFonts w:ascii="Arial"/>
          <w:color w:val="FF0000"/>
          <w:spacing w:val="0"/>
          <w:sz w:val="2"/>
        </w:rPr>
      </w:pPr>
    </w:p>
    <w:p w14:paraId="2F462BD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A9751A9">
      <w:pPr>
        <w:spacing w:before="0" w:after="0" w:line="220" w:lineRule="exact"/>
        <w:ind w:left="0" w:right="0" w:firstLine="0"/>
        <w:jc w:val="left"/>
        <w:rPr>
          <w:rFonts w:ascii="Times New Roman"/>
          <w:color w:val="000000"/>
          <w:spacing w:val="0"/>
          <w:sz w:val="21"/>
        </w:rPr>
      </w:pPr>
      <w:bookmarkStart w:id="4" w:name="br5"/>
      <w:bookmarkEnd w:id="4"/>
      <w:r>
        <w:pict>
          <v:shape id="_x0000_s1048" o:spid="_x0000_s1048" o:spt="75" type="#_x0000_t75" style="position:absolute;left:0pt;margin-left:404.15pt;margin-top:72.55pt;height:2.75pt;width:2.75pt;mso-position-horizontal-relative:page;mso-position-vertical-relative:page;z-index:-251640832;mso-width-relative:page;mso-height-relative:page;" filled="f" o:preferrelative="t" stroked="f" coordsize="21600,21600">
            <v:path/>
            <v:fill on="f" focussize="0,0"/>
            <v:stroke on="f" joinstyle="miter"/>
            <v:imagedata r:id="rId11" o:title=""/>
            <o:lock v:ext="edit" aspectratio="t"/>
          </v:shape>
        </w:pict>
      </w:r>
      <w:r>
        <w:pict>
          <v:shape id="_x0000_s1049" o:spid="_x0000_s1049" o:spt="75" type="#_x0000_t75" style="position:absolute;left:0pt;margin-left:212.1pt;margin-top:473.3pt;height:5.75pt;width:5pt;mso-position-horizontal-relative:page;mso-position-vertical-relative:page;z-index:-251641856;mso-width-relative:page;mso-height-relative:page;" filled="f" o:preferrelative="t" stroked="f" coordsize="21600,21600">
            <v:path/>
            <v:fill on="f" focussize="0,0"/>
            <v:stroke on="f" joinstyle="miter"/>
            <v:imagedata r:id="rId12" o:title=""/>
            <o:lock v:ext="edit" aspectratio="t"/>
          </v:shape>
        </w:pict>
      </w:r>
      <w:r>
        <w:pict>
          <v:shape id="_x0000_s1050" o:spid="_x0000_s1050" o:spt="75" type="#_x0000_t75" style="position:absolute;left:0pt;margin-left:116.8pt;margin-top:769.7pt;height:2.75pt;width:2.75pt;mso-position-horizontal-relative:page;mso-position-vertical-relative:page;z-index:-251642880;mso-width-relative:page;mso-height-relative:page;" filled="f" o:preferrelative="t" stroked="f" coordsize="21600,21600">
            <v:path/>
            <v:fill on="f" focussize="0,0"/>
            <v:stroke on="f" joinstyle="miter"/>
            <v:imagedata r:id="rId18" o:title=""/>
            <o:lock v:ext="edit" aspectratio="t"/>
          </v:shape>
        </w:pict>
      </w:r>
      <w:r>
        <w:pict>
          <v:shape id="_x0000_s1051" o:spid="_x0000_s1051" o:spt="75" type="#_x0000_t75" style="position:absolute;left:0pt;margin-left:356.15pt;margin-top:186.6pt;height:16.25pt;width:12.5pt;mso-position-horizontal-relative:page;mso-position-vertical-relative:page;z-index:-251643904;mso-width-relative:page;mso-height-relative:page;" filled="f" o:preferrelative="t" stroked="f" coordsize="21600,21600">
            <v:path/>
            <v:fill on="f" focussize="0,0"/>
            <v:stroke on="f" joinstyle="miter"/>
            <v:imagedata r:id="rId19" o:title=""/>
            <o:lock v:ext="edit" aspectratio="t"/>
          </v:shape>
        </w:pict>
      </w:r>
      <w:r>
        <w:pict>
          <v:shape id="_x0000_s1052" o:spid="_x0000_s1052" o:spt="75" type="#_x0000_t75" style="position:absolute;left:0pt;margin-left:60.55pt;margin-top:529.55pt;height:8.75pt;width:4.25pt;mso-position-horizontal-relative:page;mso-position-vertical-relative:page;z-index:-251644928;mso-width-relative:page;mso-height-relative:page;" filled="f" o:preferrelative="t" stroked="f" coordsize="21600,21600">
            <v:path/>
            <v:fill on="f" focussize="0,0"/>
            <v:stroke on="f" joinstyle="miter"/>
            <v:imagedata r:id="rId20" o:title=""/>
            <o:lock v:ext="edit" aspectratio="t"/>
          </v:shape>
        </w:pict>
      </w:r>
      <w:r>
        <w:rPr>
          <w:rFonts w:ascii="宋体" w:hAnsi="宋体" w:cs="宋体"/>
          <w:color w:val="000000"/>
          <w:spacing w:val="0"/>
          <w:sz w:val="21"/>
        </w:rPr>
        <w:t>②赵某可主张暴雨属于不可抗力从而免除自己的法律责任</w:t>
      </w:r>
    </w:p>
    <w:p w14:paraId="01A2BE3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③双方经村调委会调解达成的调解协议，有强制执行效力</w:t>
      </w:r>
    </w:p>
    <w:p w14:paraId="0F658D4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④将矛盾化解在“茶园地头”是“枫桥经验”的生动体现</w:t>
      </w:r>
    </w:p>
    <w:p w14:paraId="7F8FC2A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18D0D20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0"/>
          <w:sz w:val="21"/>
        </w:rPr>
        <w:t>《中国居民营养与慢性病状况报告（</w:t>
      </w:r>
      <w:r>
        <w:rPr>
          <w:rFonts w:ascii="Times New Roman"/>
          <w:color w:val="000000"/>
          <w:spacing w:val="0"/>
          <w:sz w:val="21"/>
        </w:rPr>
        <w:t xml:space="preserve">2020 </w:t>
      </w:r>
      <w:r>
        <w:rPr>
          <w:rFonts w:ascii="宋体" w:hAnsi="宋体" w:cs="宋体"/>
          <w:color w:val="000000"/>
          <w:spacing w:val="-8"/>
          <w:sz w:val="21"/>
        </w:rPr>
        <w:t>年）》显示，成年人超重率为</w:t>
      </w:r>
      <w:r>
        <w:rPr>
          <w:rFonts w:ascii="Times New Roman"/>
          <w:color w:val="000000"/>
          <w:spacing w:val="8"/>
          <w:sz w:val="21"/>
        </w:rPr>
        <w:t xml:space="preserve"> </w:t>
      </w:r>
      <w:r>
        <w:rPr>
          <w:rFonts w:ascii="Times New Roman"/>
          <w:color w:val="000000"/>
          <w:spacing w:val="0"/>
          <w:sz w:val="21"/>
        </w:rPr>
        <w:t>34.3%</w:t>
      </w:r>
      <w:r>
        <w:rPr>
          <w:rFonts w:ascii="宋体" w:hAnsi="宋体" w:cs="宋体"/>
          <w:color w:val="000000"/>
          <w:spacing w:val="0"/>
          <w:sz w:val="21"/>
        </w:rPr>
        <w:t>，肥胖率为</w:t>
      </w:r>
      <w:r>
        <w:rPr>
          <w:rFonts w:ascii="Times New Roman"/>
          <w:color w:val="000000"/>
          <w:spacing w:val="0"/>
          <w:sz w:val="21"/>
        </w:rPr>
        <w:t xml:space="preserve"> 16.4%</w:t>
      </w:r>
      <w:r>
        <w:rPr>
          <w:rFonts w:ascii="宋体" w:hAnsi="宋体" w:cs="宋体"/>
          <w:color w:val="000000"/>
          <w:spacing w:val="0"/>
          <w:sz w:val="21"/>
        </w:rPr>
        <w:t>，</w:t>
      </w:r>
      <w:r>
        <w:rPr>
          <w:rFonts w:ascii="Times New Roman"/>
          <w:color w:val="000000"/>
          <w:spacing w:val="0"/>
          <w:sz w:val="21"/>
        </w:rPr>
        <w:t>6-17</w:t>
      </w:r>
    </w:p>
    <w:p w14:paraId="1B18E7C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岁青少年儿童超重率和肥胖率分别为</w:t>
      </w:r>
      <w:r>
        <w:rPr>
          <w:rFonts w:ascii="Times New Roman"/>
          <w:color w:val="000000"/>
          <w:spacing w:val="0"/>
          <w:sz w:val="21"/>
        </w:rPr>
        <w:t xml:space="preserve"> </w:t>
      </w:r>
      <w:r>
        <w:rPr>
          <w:rFonts w:ascii="Times New Roman"/>
          <w:color w:val="000000"/>
          <w:spacing w:val="-2"/>
          <w:sz w:val="21"/>
        </w:rPr>
        <w:t>11.1%</w:t>
      </w:r>
      <w:r>
        <w:rPr>
          <w:rFonts w:ascii="宋体" w:hAnsi="宋体" w:cs="宋体"/>
          <w:color w:val="000000"/>
          <w:spacing w:val="0"/>
          <w:sz w:val="21"/>
        </w:rPr>
        <w:t>和</w:t>
      </w:r>
      <w:r>
        <w:rPr>
          <w:rFonts w:ascii="Times New Roman"/>
          <w:color w:val="000000"/>
          <w:spacing w:val="0"/>
          <w:sz w:val="21"/>
        </w:rPr>
        <w:t xml:space="preserve"> 7.9%</w:t>
      </w:r>
      <w:r>
        <w:rPr>
          <w:rFonts w:ascii="宋体" w:hAnsi="宋体" w:cs="宋体"/>
          <w:color w:val="000000"/>
          <w:spacing w:val="0"/>
          <w:sz w:val="21"/>
        </w:rPr>
        <w:t>，</w:t>
      </w:r>
      <w:r>
        <w:rPr>
          <w:rFonts w:ascii="Times New Roman"/>
          <w:color w:val="000000"/>
          <w:spacing w:val="0"/>
          <w:sz w:val="21"/>
        </w:rPr>
        <w:t xml:space="preserve">6 </w:t>
      </w:r>
      <w:r>
        <w:rPr>
          <w:rFonts w:ascii="宋体" w:hAnsi="宋体" w:cs="宋体"/>
          <w:color w:val="000000"/>
          <w:spacing w:val="0"/>
          <w:sz w:val="21"/>
        </w:rPr>
        <w:t>岁以下儿童</w:t>
      </w:r>
      <w:r>
        <w:rPr>
          <w:rFonts w:ascii="Times New Roman"/>
          <w:color w:val="000000"/>
          <w:spacing w:val="158"/>
          <w:sz w:val="21"/>
        </w:rPr>
        <w:t xml:space="preserve"> </w:t>
      </w:r>
      <w:r>
        <w:rPr>
          <w:rFonts w:ascii="宋体" w:hAnsi="宋体" w:cs="宋体"/>
          <w:color w:val="000000"/>
          <w:spacing w:val="0"/>
          <w:sz w:val="21"/>
        </w:rPr>
        <w:t>超重率和肥胖率分别为</w:t>
      </w:r>
      <w:r>
        <w:rPr>
          <w:rFonts w:ascii="Times New Roman"/>
          <w:color w:val="000000"/>
          <w:spacing w:val="0"/>
          <w:sz w:val="21"/>
        </w:rPr>
        <w:t xml:space="preserve"> 6.8%</w:t>
      </w:r>
      <w:r>
        <w:rPr>
          <w:rFonts w:ascii="宋体" w:hAnsi="宋体" w:cs="宋体"/>
          <w:color w:val="000000"/>
          <w:spacing w:val="0"/>
          <w:sz w:val="21"/>
        </w:rPr>
        <w:t>和</w:t>
      </w:r>
      <w:r>
        <w:rPr>
          <w:rFonts w:ascii="Times New Roman"/>
          <w:color w:val="000000"/>
          <w:spacing w:val="0"/>
          <w:sz w:val="21"/>
        </w:rPr>
        <w:t xml:space="preserve"> 3.6%</w:t>
      </w:r>
      <w:r>
        <w:rPr>
          <w:rFonts w:ascii="宋体" w:hAnsi="宋体" w:cs="宋体"/>
          <w:color w:val="000000"/>
          <w:spacing w:val="0"/>
          <w:sz w:val="21"/>
        </w:rPr>
        <w:t>。</w:t>
      </w:r>
    </w:p>
    <w:p w14:paraId="610915A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2023 </w:t>
      </w:r>
      <w:r>
        <w:rPr>
          <w:rFonts w:ascii="宋体" w:hAnsi="宋体" w:cs="宋体"/>
          <w:color w:val="000000"/>
          <w:spacing w:val="0"/>
          <w:sz w:val="21"/>
        </w:rPr>
        <w:t>年成年人超重肥胖率为</w:t>
      </w:r>
      <w:r>
        <w:rPr>
          <w:rFonts w:ascii="Times New Roman"/>
          <w:color w:val="000000"/>
          <w:spacing w:val="0"/>
          <w:sz w:val="21"/>
        </w:rPr>
        <w:t xml:space="preserve"> 57%</w:t>
      </w:r>
      <w:r>
        <w:rPr>
          <w:rFonts w:ascii="宋体" w:hAnsi="宋体" w:cs="宋体"/>
          <w:color w:val="000000"/>
          <w:spacing w:val="0"/>
          <w:sz w:val="21"/>
        </w:rPr>
        <w:t>。我国超重肥胖呈“总体上升、年轻化”趋势。以下选项能支持上述论断</w:t>
      </w:r>
    </w:p>
    <w:p w14:paraId="1A8F875C">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的是（</w:t>
      </w:r>
      <w:r>
        <w:rPr>
          <w:rFonts w:ascii="Times New Roman"/>
          <w:color w:val="000000"/>
          <w:spacing w:val="263"/>
          <w:sz w:val="21"/>
        </w:rPr>
        <w:t xml:space="preserve"> </w:t>
      </w:r>
      <w:r>
        <w:rPr>
          <w:rFonts w:ascii="宋体" w:hAnsi="宋体" w:cs="宋体"/>
          <w:color w:val="000000"/>
          <w:spacing w:val="0"/>
          <w:sz w:val="21"/>
        </w:rPr>
        <w:t>）</w:t>
      </w:r>
    </w:p>
    <w:p w14:paraId="30485CE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①肥胖症显著加重了医疗卫生体系的负担</w:t>
      </w:r>
    </w:p>
    <w:p w14:paraId="52B724E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②长期久坐、饮食不规律导致“压力性肥胖”</w:t>
      </w:r>
    </w:p>
    <w:p w14:paraId="572E4EB2">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③</w:t>
      </w:r>
      <w:r>
        <w:rPr>
          <w:rFonts w:ascii="Times New Roman"/>
          <w:color w:val="000000"/>
          <w:spacing w:val="0"/>
          <w:sz w:val="21"/>
        </w:rPr>
        <w:t xml:space="preserve">1982 </w:t>
      </w:r>
      <w:r>
        <w:rPr>
          <w:rFonts w:ascii="宋体" w:hAnsi="宋体" w:cs="宋体"/>
          <w:color w:val="000000"/>
          <w:spacing w:val="0"/>
          <w:sz w:val="21"/>
        </w:rPr>
        <w:t>年，我国</w:t>
      </w:r>
      <w:r>
        <w:rPr>
          <w:rFonts w:ascii="Times New Roman"/>
          <w:color w:val="000000"/>
          <w:spacing w:val="0"/>
          <w:sz w:val="21"/>
        </w:rPr>
        <w:t xml:space="preserve"> 7-17 </w:t>
      </w:r>
      <w:r>
        <w:rPr>
          <w:rFonts w:ascii="宋体" w:hAnsi="宋体" w:cs="宋体"/>
          <w:color w:val="000000"/>
          <w:spacing w:val="0"/>
          <w:sz w:val="21"/>
        </w:rPr>
        <w:t>岁青少年儿童肥胖率仅为</w:t>
      </w:r>
      <w:r>
        <w:rPr>
          <w:rFonts w:ascii="Times New Roman"/>
          <w:color w:val="000000"/>
          <w:spacing w:val="0"/>
          <w:sz w:val="21"/>
        </w:rPr>
        <w:t xml:space="preserve"> 0.2%</w:t>
      </w:r>
    </w:p>
    <w:p w14:paraId="7498B22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④研究预测，若不干预，到</w:t>
      </w:r>
      <w:r>
        <w:rPr>
          <w:rFonts w:ascii="Times New Roman"/>
          <w:color w:val="000000"/>
          <w:spacing w:val="0"/>
          <w:sz w:val="21"/>
        </w:rPr>
        <w:t xml:space="preserve"> 2030 </w:t>
      </w:r>
      <w:r>
        <w:rPr>
          <w:rFonts w:ascii="宋体" w:hAnsi="宋体" w:cs="宋体"/>
          <w:color w:val="000000"/>
          <w:spacing w:val="0"/>
          <w:sz w:val="21"/>
        </w:rPr>
        <w:t>年我国成年人超重肥胖率可达</w:t>
      </w:r>
      <w:r>
        <w:rPr>
          <w:rFonts w:ascii="Times New Roman"/>
          <w:color w:val="000000"/>
          <w:spacing w:val="0"/>
          <w:sz w:val="21"/>
        </w:rPr>
        <w:t xml:space="preserve"> 70.5%</w:t>
      </w:r>
    </w:p>
    <w:p w14:paraId="4B6C318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803005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16. 2025</w:t>
      </w:r>
      <w:r>
        <w:rPr>
          <w:rFonts w:ascii="Times New Roman"/>
          <w:color w:val="000000"/>
          <w:spacing w:val="-2"/>
          <w:sz w:val="21"/>
        </w:rPr>
        <w:t xml:space="preserve"> </w:t>
      </w:r>
      <w:r>
        <w:rPr>
          <w:rFonts w:ascii="宋体" w:hAnsi="宋体" w:cs="宋体"/>
          <w:color w:val="000000"/>
          <w:spacing w:val="-2"/>
          <w:sz w:val="21"/>
        </w:rPr>
        <w:t>年初，</w:t>
      </w:r>
      <w:r>
        <w:rPr>
          <w:rFonts w:ascii="Times New Roman"/>
          <w:color w:val="000000"/>
          <w:spacing w:val="0"/>
          <w:sz w:val="21"/>
        </w:rPr>
        <w:t>DeepSeek-R1</w:t>
      </w:r>
      <w:r>
        <w:rPr>
          <w:rFonts w:ascii="Times New Roman"/>
          <w:color w:val="000000"/>
          <w:spacing w:val="-1"/>
          <w:sz w:val="21"/>
        </w:rPr>
        <w:t xml:space="preserve"> </w:t>
      </w:r>
      <w:r>
        <w:rPr>
          <w:rFonts w:ascii="宋体" w:hAnsi="宋体" w:cs="宋体"/>
          <w:color w:val="000000"/>
          <w:spacing w:val="-1"/>
          <w:sz w:val="21"/>
        </w:rPr>
        <w:t>大模型脱颖而出，成为行业焦点。大模型是指拥有超大规模参数、复杂计算结</w:t>
      </w:r>
    </w:p>
    <w:p w14:paraId="48E36B0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构的机器学习模型。与以前规则驱动的人工智能不同，大模型是数据驱动的。据此可知（</w:t>
      </w:r>
      <w:r>
        <w:rPr>
          <w:rFonts w:ascii="Times New Roman"/>
          <w:color w:val="000000"/>
          <w:spacing w:val="263"/>
          <w:sz w:val="21"/>
        </w:rPr>
        <w:t xml:space="preserve"> </w:t>
      </w:r>
      <w:r>
        <w:rPr>
          <w:rFonts w:ascii="宋体" w:hAnsi="宋体" w:cs="宋体"/>
          <w:color w:val="000000"/>
          <w:spacing w:val="0"/>
          <w:sz w:val="21"/>
        </w:rPr>
        <w:t>）</w:t>
      </w:r>
    </w:p>
    <w:p w14:paraId="750F7DC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①有的数据驱动的人工智能是大模型</w:t>
      </w:r>
    </w:p>
    <w:p w14:paraId="49CC19C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②机器学习模型是数据驱动的人工智能</w:t>
      </w:r>
    </w:p>
    <w:p w14:paraId="4CFC8A59">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③“</w:t>
      </w:r>
      <w:r>
        <w:rPr>
          <w:rFonts w:ascii="Times New Roman"/>
          <w:color w:val="000000"/>
          <w:spacing w:val="0"/>
          <w:sz w:val="21"/>
        </w:rPr>
        <w:t>DeepSeek-R1</w:t>
      </w:r>
      <w:r>
        <w:rPr>
          <w:rFonts w:ascii="Times New Roman"/>
          <w:color w:val="000000"/>
          <w:spacing w:val="1"/>
          <w:sz w:val="21"/>
        </w:rPr>
        <w:t xml:space="preserve"> </w:t>
      </w:r>
      <w:r>
        <w:rPr>
          <w:rFonts w:ascii="宋体" w:hAnsi="宋体" w:cs="宋体"/>
          <w:color w:val="000000"/>
          <w:spacing w:val="0"/>
          <w:sz w:val="21"/>
        </w:rPr>
        <w:t>大模型”和“人工智能”是种属关系</w:t>
      </w:r>
    </w:p>
    <w:p w14:paraId="2D767EF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④“大模型是数据驱动的”中的“数据驱动的”是周延的</w:t>
      </w:r>
    </w:p>
    <w:p w14:paraId="6700C090">
      <w:pPr>
        <w:spacing w:before="238"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103"/>
          <w:sz w:val="21"/>
        </w:rPr>
        <w:t xml:space="preserve"> </w:t>
      </w:r>
      <w:r>
        <w:rPr>
          <w:rFonts w:ascii="宋体" w:hAnsi="宋体" w:cs="宋体"/>
          <w:color w:val="000000"/>
          <w:spacing w:val="0"/>
          <w:sz w:val="21"/>
        </w:rPr>
        <w:t>①③</w:t>
      </w:r>
      <w:r>
        <w:rPr>
          <w:rFonts w:ascii="Times New Roman"/>
          <w:color w:val="000000"/>
          <w:spacing w:val="165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3ADFF5F0">
      <w:pPr>
        <w:spacing w:before="316" w:after="0" w:line="276" w:lineRule="exact"/>
        <w:ind w:left="0" w:right="0" w:firstLine="0"/>
        <w:jc w:val="left"/>
        <w:rPr>
          <w:rFonts w:ascii="Times New Roman"/>
          <w:color w:val="000000"/>
          <w:spacing w:val="0"/>
          <w:sz w:val="24"/>
        </w:rPr>
      </w:pPr>
      <w:r>
        <w:rPr>
          <w:rFonts w:ascii="宋体" w:hAnsi="宋体" w:cs="宋体"/>
          <w:color w:val="000000"/>
          <w:spacing w:val="2"/>
          <w:sz w:val="24"/>
        </w:rPr>
        <w:t>二、非选择题：共</w:t>
      </w:r>
      <w:r>
        <w:rPr>
          <w:rFonts w:ascii="Times New Roman"/>
          <w:color w:val="000000"/>
          <w:spacing w:val="-1"/>
          <w:sz w:val="24"/>
        </w:rPr>
        <w:t xml:space="preserve"> </w:t>
      </w:r>
      <w:r>
        <w:rPr>
          <w:rFonts w:ascii="Times New Roman"/>
          <w:b/>
          <w:color w:val="000000"/>
          <w:spacing w:val="0"/>
          <w:sz w:val="24"/>
        </w:rPr>
        <w:t>4</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52</w:t>
      </w:r>
      <w:r>
        <w:rPr>
          <w:rFonts w:ascii="Times New Roman"/>
          <w:b/>
          <w:color w:val="000000"/>
          <w:spacing w:val="0"/>
          <w:sz w:val="24"/>
        </w:rPr>
        <w:t xml:space="preserve"> </w:t>
      </w:r>
      <w:r>
        <w:rPr>
          <w:rFonts w:ascii="宋体" w:hAnsi="宋体" w:cs="宋体"/>
          <w:color w:val="000000"/>
          <w:spacing w:val="0"/>
          <w:sz w:val="24"/>
        </w:rPr>
        <w:t>分。</w:t>
      </w:r>
    </w:p>
    <w:p w14:paraId="79DA5462">
      <w:pPr>
        <w:spacing w:before="161"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阅读材料，完成下列要求。</w:t>
      </w:r>
    </w:p>
    <w:p w14:paraId="3823446B">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近年来，我国个人所得税改革蹄疾步稳，百姓获得感不断增强。</w:t>
      </w:r>
    </w:p>
    <w:p w14:paraId="0505B6D5">
      <w:pPr>
        <w:spacing w:before="333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6BE4FA34">
      <w:pPr>
        <w:spacing w:before="0" w:after="0" w:line="0" w:lineRule="atLeast"/>
        <w:ind w:left="0" w:right="0" w:firstLine="0"/>
        <w:jc w:val="left"/>
        <w:rPr>
          <w:rFonts w:ascii="Arial"/>
          <w:color w:val="FF0000"/>
          <w:spacing w:val="0"/>
          <w:sz w:val="2"/>
        </w:rPr>
      </w:pPr>
    </w:p>
    <w:p w14:paraId="6A651270">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9954748">
      <w:pPr>
        <w:pStyle w:val="6"/>
        <w:sectPr>
          <w:pgSz w:w="11900" w:h="16840"/>
          <w:pgMar w:top="1452" w:right="100" w:bottom="0" w:left="1080" w:header="720" w:footer="720" w:gutter="0"/>
          <w:pgNumType w:start="1"/>
          <w:cols w:space="720" w:num="1"/>
          <w:docGrid w:linePitch="1" w:charSpace="0"/>
        </w:sectPr>
      </w:pPr>
    </w:p>
    <w:p w14:paraId="796C6F10">
      <w:pPr>
        <w:spacing w:before="0" w:after="0" w:line="0" w:lineRule="atLeast"/>
        <w:ind w:left="0" w:right="0" w:firstLine="0"/>
        <w:jc w:val="left"/>
        <w:rPr>
          <w:rFonts w:ascii="Arial"/>
          <w:color w:val="FF0000"/>
          <w:spacing w:val="0"/>
          <w:sz w:val="2"/>
        </w:rPr>
      </w:pPr>
    </w:p>
    <w:p w14:paraId="0E495D65">
      <w:pPr>
        <w:spacing w:before="0" w:after="0" w:line="220" w:lineRule="exact"/>
        <w:ind w:left="0" w:right="0" w:firstLine="0"/>
        <w:jc w:val="left"/>
        <w:rPr>
          <w:rFonts w:ascii="Times New Roman"/>
          <w:color w:val="000000"/>
          <w:spacing w:val="0"/>
          <w:sz w:val="21"/>
        </w:rPr>
      </w:pPr>
      <w:bookmarkStart w:id="5" w:name="br6"/>
      <w:bookmarkEnd w:id="5"/>
      <w:r>
        <w:pict>
          <v:shape id="_x0000_s1053" o:spid="_x0000_s1053" o:spt="75" type="#_x0000_t75" style="position:absolute;left:0pt;margin-left:53pt;margin-top:63.45pt;height:190.45pt;width:455pt;mso-position-horizontal-relative:page;mso-position-vertical-relative:page;z-index:-251645952;mso-width-relative:page;mso-height-relative:page;" filled="f" o:preferrelative="t" stroked="f" coordsize="21600,21600">
            <v:path/>
            <v:fill on="f" focussize="0,0"/>
            <v:stroke on="f"/>
            <v:imagedata r:id="rId21" croptop="6690f" cropright="-6377f" o:title=""/>
            <o:lock v:ext="edit" aspectratio="t"/>
          </v:shape>
        </w:pict>
      </w:r>
      <w:r>
        <w:pict>
          <v:shape id="_x0000_s1054" o:spid="_x0000_s1054" o:spt="75" type="#_x0000_t75" style="position:absolute;left:0pt;margin-left:212.1pt;margin-top:473.3pt;height:5.75pt;width:5pt;mso-position-horizontal-relative:page;mso-position-vertical-relative:page;z-index:-251646976;mso-width-relative:page;mso-height-relative:page;" filled="f" o:preferrelative="t" stroked="f" coordsize="21600,21600">
            <v:path/>
            <v:fill on="f" focussize="0,0"/>
            <v:stroke on="f" joinstyle="miter"/>
            <v:imagedata r:id="rId12" o:title=""/>
            <o:lock v:ext="edit" aspectratio="t"/>
          </v:shape>
        </w:pict>
      </w:r>
      <w:r>
        <w:pict>
          <v:shape id="_x0000_s1055" o:spid="_x0000_s1055" o:spt="75" type="#_x0000_t75" style="position:absolute;left:0pt;margin-left:116.8pt;margin-top:769.7pt;height:2.75pt;width:2.75pt;mso-position-horizontal-relative:page;mso-position-vertical-relative:page;z-index:-251648000;mso-width-relative:page;mso-height-relative:page;" filled="f" o:preferrelative="t" stroked="f" coordsize="21600,21600">
            <v:path/>
            <v:fill on="f" focussize="0,0"/>
            <v:stroke on="f" joinstyle="miter"/>
            <v:imagedata r:id="rId16" o:title=""/>
            <o:lock v:ext="edit" aspectratio="t"/>
          </v:shape>
        </w:pict>
      </w:r>
      <w:r>
        <w:rPr>
          <w:rFonts w:ascii="宋体" w:hAnsi="宋体" w:cs="宋体"/>
          <w:color w:val="000000"/>
          <w:spacing w:val="0"/>
          <w:sz w:val="21"/>
        </w:rPr>
        <w:t>运用经济与社会知识，解读材料蕴含的经济信息及其反映的政策意图。</w:t>
      </w:r>
    </w:p>
    <w:p w14:paraId="6CA772F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0"/>
          <w:sz w:val="21"/>
        </w:rPr>
        <w:t>阅读材料，完成下列要求。</w:t>
      </w:r>
    </w:p>
    <w:p w14:paraId="7373D151">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乡村振兴，关键在人。中共中央办公厅、国务院办公厅《关于加快推进乡村人才振兴的意见》颁布实</w:t>
      </w:r>
    </w:p>
    <w:p w14:paraId="06C49D3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施以来，越来越多有文化、懂技术、善经营、会管理、有理想的</w:t>
      </w:r>
      <w:r>
        <w:rPr>
          <w:rFonts w:ascii="宋体" w:hAnsi="宋体" w:cs="宋体"/>
          <w:color w:val="000000"/>
          <w:spacing w:val="0"/>
          <w:sz w:val="21"/>
        </w:rPr>
        <w:t>“</w:t>
      </w:r>
      <w:r>
        <w:rPr>
          <w:rFonts w:ascii="楷体" w:hAnsi="楷体" w:cs="楷体"/>
          <w:color w:val="000000"/>
          <w:spacing w:val="0"/>
          <w:sz w:val="21"/>
        </w:rPr>
        <w:t>新农人</w:t>
      </w:r>
      <w:r>
        <w:rPr>
          <w:rFonts w:ascii="宋体" w:hAnsi="宋体" w:cs="宋体"/>
          <w:color w:val="000000"/>
          <w:spacing w:val="0"/>
          <w:sz w:val="21"/>
        </w:rPr>
        <w:t>”</w:t>
      </w:r>
      <w:r>
        <w:rPr>
          <w:rFonts w:ascii="楷体" w:hAnsi="楷体" w:cs="楷体"/>
          <w:color w:val="000000"/>
          <w:spacing w:val="0"/>
          <w:sz w:val="21"/>
        </w:rPr>
        <w:t>扎根农村，在希望的田野上放</w:t>
      </w:r>
    </w:p>
    <w:p w14:paraId="7AFE91D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飞梦想。</w:t>
      </w:r>
    </w:p>
    <w:p w14:paraId="72C54DF1">
      <w:pPr>
        <w:spacing w:before="248" w:after="0" w:line="220" w:lineRule="exact"/>
        <w:ind w:left="420" w:right="0" w:firstLine="0"/>
        <w:jc w:val="left"/>
        <w:rPr>
          <w:rFonts w:ascii="Times New Roman"/>
          <w:color w:val="000000"/>
          <w:spacing w:val="0"/>
          <w:sz w:val="21"/>
        </w:rPr>
      </w:pPr>
      <w:r>
        <w:rPr>
          <w:rFonts w:ascii="宋体" w:hAnsi="宋体" w:cs="宋体"/>
          <w:color w:val="000000"/>
          <w:spacing w:val="0"/>
          <w:sz w:val="21"/>
        </w:rPr>
        <w:t>“</w:t>
      </w:r>
      <w:r>
        <w:rPr>
          <w:rFonts w:ascii="楷体" w:hAnsi="楷体" w:cs="楷体"/>
          <w:color w:val="000000"/>
          <w:spacing w:val="0"/>
          <w:sz w:val="21"/>
        </w:rPr>
        <w:t>新农人</w:t>
      </w:r>
      <w:r>
        <w:rPr>
          <w:rFonts w:ascii="宋体" w:hAnsi="宋体" w:cs="宋体"/>
          <w:color w:val="000000"/>
          <w:spacing w:val="0"/>
          <w:sz w:val="21"/>
        </w:rPr>
        <w:t>”</w:t>
      </w:r>
      <w:r>
        <w:rPr>
          <w:rFonts w:ascii="楷体" w:hAnsi="楷体" w:cs="楷体"/>
          <w:color w:val="000000"/>
          <w:spacing w:val="0"/>
          <w:sz w:val="21"/>
        </w:rPr>
        <w:t>逐梦并非一路坦途，要使更多</w:t>
      </w:r>
      <w:r>
        <w:rPr>
          <w:rFonts w:ascii="宋体" w:hAnsi="宋体" w:cs="宋体"/>
          <w:color w:val="000000"/>
          <w:spacing w:val="0"/>
          <w:sz w:val="21"/>
        </w:rPr>
        <w:t>“</w:t>
      </w:r>
      <w:r>
        <w:rPr>
          <w:rFonts w:ascii="楷体" w:hAnsi="楷体" w:cs="楷体"/>
          <w:color w:val="000000"/>
          <w:spacing w:val="0"/>
          <w:sz w:val="21"/>
        </w:rPr>
        <w:t>新农人</w:t>
      </w:r>
      <w:r>
        <w:rPr>
          <w:rFonts w:ascii="宋体" w:hAnsi="宋体" w:cs="宋体"/>
          <w:color w:val="000000"/>
          <w:spacing w:val="0"/>
          <w:sz w:val="21"/>
        </w:rPr>
        <w:t>”</w:t>
      </w:r>
      <w:r>
        <w:rPr>
          <w:rFonts w:ascii="楷体" w:hAnsi="楷体" w:cs="楷体"/>
          <w:color w:val="000000"/>
          <w:spacing w:val="0"/>
          <w:sz w:val="21"/>
        </w:rPr>
        <w:t>下得去、留得住、发展好，需要多方发力。在外</w:t>
      </w:r>
    </w:p>
    <w:p w14:paraId="238BD8D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务工的小张返乡后，萌生从事有机肥研发生产的念头，但苦于没技术而未启动。在当地乡村人才振兴政策</w:t>
      </w:r>
    </w:p>
    <w:p w14:paraId="37A271A9">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支持下，小张参加了</w:t>
      </w:r>
      <w:r>
        <w:rPr>
          <w:rFonts w:ascii="宋体" w:hAnsi="宋体" w:cs="宋体"/>
          <w:color w:val="000000"/>
          <w:spacing w:val="0"/>
          <w:sz w:val="21"/>
        </w:rPr>
        <w:t>“</w:t>
      </w:r>
      <w:r>
        <w:rPr>
          <w:rFonts w:ascii="楷体" w:hAnsi="楷体" w:cs="楷体"/>
          <w:color w:val="000000"/>
          <w:spacing w:val="0"/>
          <w:sz w:val="21"/>
        </w:rPr>
        <w:t>高索质农民培育项目</w:t>
      </w:r>
      <w:r>
        <w:rPr>
          <w:rFonts w:ascii="宋体" w:hAnsi="宋体" w:cs="宋体"/>
          <w:color w:val="000000"/>
          <w:spacing w:val="0"/>
          <w:sz w:val="21"/>
        </w:rPr>
        <w:t>”</w:t>
      </w:r>
      <w:r>
        <w:rPr>
          <w:rFonts w:ascii="楷体" w:hAnsi="楷体" w:cs="楷体"/>
          <w:color w:val="000000"/>
          <w:spacing w:val="0"/>
          <w:sz w:val="21"/>
        </w:rPr>
        <w:t>，掌握了相关专业知识和技术，慢慢从</w:t>
      </w:r>
      <w:r>
        <w:rPr>
          <w:rFonts w:ascii="宋体" w:hAnsi="宋体" w:cs="宋体"/>
          <w:color w:val="000000"/>
          <w:spacing w:val="0"/>
          <w:sz w:val="21"/>
        </w:rPr>
        <w:t>“</w:t>
      </w:r>
      <w:r>
        <w:rPr>
          <w:rFonts w:ascii="楷体" w:hAnsi="楷体" w:cs="楷体"/>
          <w:color w:val="000000"/>
          <w:spacing w:val="0"/>
          <w:sz w:val="21"/>
        </w:rPr>
        <w:t>行业小白</w:t>
      </w:r>
      <w:r>
        <w:rPr>
          <w:rFonts w:ascii="宋体" w:hAnsi="宋体" w:cs="宋体"/>
          <w:color w:val="000000"/>
          <w:spacing w:val="0"/>
          <w:sz w:val="21"/>
        </w:rPr>
        <w:t>”</w:t>
      </w:r>
      <w:r>
        <w:rPr>
          <w:rFonts w:ascii="楷体" w:hAnsi="楷体" w:cs="楷体"/>
          <w:color w:val="000000"/>
          <w:spacing w:val="0"/>
          <w:sz w:val="21"/>
        </w:rPr>
        <w:t>成长为</w:t>
      </w:r>
    </w:p>
    <w:p w14:paraId="7A45907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楷体" w:hAnsi="楷体" w:cs="楷体"/>
          <w:color w:val="000000"/>
          <w:spacing w:val="0"/>
          <w:sz w:val="21"/>
        </w:rPr>
        <w:t>行家里手</w:t>
      </w:r>
      <w:r>
        <w:rPr>
          <w:rFonts w:ascii="宋体" w:hAnsi="宋体" w:cs="宋体"/>
          <w:color w:val="000000"/>
          <w:spacing w:val="0"/>
          <w:sz w:val="21"/>
        </w:rPr>
        <w:t>”</w:t>
      </w:r>
      <w:r>
        <w:rPr>
          <w:rFonts w:ascii="楷体" w:hAnsi="楷体" w:cs="楷体"/>
          <w:color w:val="000000"/>
          <w:spacing w:val="0"/>
          <w:sz w:val="21"/>
        </w:rPr>
        <w:t>，并当选为地方人大代表。小张以人大代表身份提出的关于成立</w:t>
      </w:r>
      <w:r>
        <w:rPr>
          <w:rFonts w:ascii="宋体" w:hAnsi="宋体" w:cs="宋体"/>
          <w:color w:val="000000"/>
          <w:spacing w:val="0"/>
          <w:sz w:val="21"/>
        </w:rPr>
        <w:t>“</w:t>
      </w:r>
      <w:r>
        <w:rPr>
          <w:rFonts w:ascii="楷体" w:hAnsi="楷体" w:cs="楷体"/>
          <w:color w:val="000000"/>
          <w:spacing w:val="0"/>
          <w:sz w:val="21"/>
        </w:rPr>
        <w:t>新农人学院</w:t>
      </w:r>
      <w:r>
        <w:rPr>
          <w:rFonts w:ascii="宋体" w:hAnsi="宋体" w:cs="宋体"/>
          <w:color w:val="000000"/>
          <w:spacing w:val="0"/>
          <w:sz w:val="21"/>
        </w:rPr>
        <w:t>”</w:t>
      </w:r>
      <w:r>
        <w:rPr>
          <w:rFonts w:ascii="楷体" w:hAnsi="楷体" w:cs="楷体"/>
          <w:color w:val="000000"/>
          <w:spacing w:val="0"/>
          <w:sz w:val="21"/>
        </w:rPr>
        <w:t>建议被当地</w:t>
      </w:r>
    </w:p>
    <w:p w14:paraId="5EAC155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政府采纳实施，目前已有数百名</w:t>
      </w:r>
      <w:r>
        <w:rPr>
          <w:rFonts w:ascii="宋体" w:hAnsi="宋体" w:cs="宋体"/>
          <w:color w:val="000000"/>
          <w:spacing w:val="0"/>
          <w:sz w:val="21"/>
        </w:rPr>
        <w:t>“</w:t>
      </w:r>
      <w:r>
        <w:rPr>
          <w:rFonts w:ascii="楷体" w:hAnsi="楷体" w:cs="楷体"/>
          <w:color w:val="000000"/>
          <w:spacing w:val="0"/>
          <w:sz w:val="21"/>
        </w:rPr>
        <w:t>土专家</w:t>
      </w:r>
      <w:r>
        <w:rPr>
          <w:rFonts w:ascii="宋体" w:hAnsi="宋体" w:cs="宋体"/>
          <w:color w:val="000000"/>
          <w:spacing w:val="0"/>
          <w:sz w:val="21"/>
        </w:rPr>
        <w:t>”“</w:t>
      </w:r>
      <w:r>
        <w:rPr>
          <w:rFonts w:ascii="楷体" w:hAnsi="楷体" w:cs="楷体"/>
          <w:color w:val="000000"/>
          <w:spacing w:val="0"/>
          <w:sz w:val="21"/>
        </w:rPr>
        <w:t>田秀才</w:t>
      </w:r>
      <w:r>
        <w:rPr>
          <w:rFonts w:ascii="宋体" w:hAnsi="宋体" w:cs="宋体"/>
          <w:color w:val="000000"/>
          <w:spacing w:val="0"/>
          <w:sz w:val="21"/>
        </w:rPr>
        <w:t>”</w:t>
      </w:r>
      <w:r>
        <w:rPr>
          <w:rFonts w:ascii="楷体" w:hAnsi="楷体" w:cs="楷体"/>
          <w:color w:val="000000"/>
          <w:spacing w:val="0"/>
          <w:sz w:val="21"/>
        </w:rPr>
        <w:t>顺利毕业，成为活跃在乡村振兴一线的</w:t>
      </w:r>
      <w:r>
        <w:rPr>
          <w:rFonts w:ascii="宋体" w:hAnsi="宋体" w:cs="宋体"/>
          <w:color w:val="000000"/>
          <w:spacing w:val="0"/>
          <w:sz w:val="21"/>
        </w:rPr>
        <w:t>“</w:t>
      </w:r>
      <w:r>
        <w:rPr>
          <w:rFonts w:ascii="楷体" w:hAnsi="楷体" w:cs="楷体"/>
          <w:color w:val="000000"/>
          <w:spacing w:val="0"/>
          <w:sz w:val="21"/>
        </w:rPr>
        <w:t>兴农人</w:t>
      </w:r>
      <w:r>
        <w:rPr>
          <w:rFonts w:ascii="宋体" w:hAnsi="宋体" w:cs="宋体"/>
          <w:color w:val="000000"/>
          <w:spacing w:val="0"/>
          <w:sz w:val="21"/>
        </w:rPr>
        <w:t>”</w:t>
      </w:r>
      <w:r>
        <w:rPr>
          <w:rFonts w:ascii="楷体" w:hAnsi="楷体" w:cs="楷体"/>
          <w:color w:val="000000"/>
          <w:spacing w:val="0"/>
          <w:sz w:val="21"/>
        </w:rPr>
        <w:t>。</w:t>
      </w:r>
    </w:p>
    <w:p w14:paraId="287EAE1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结合材料，运用政治与法治知识，分析“新农人”何以能成长为“兴农人”。</w:t>
      </w:r>
    </w:p>
    <w:p w14:paraId="34E225D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阅读材料，完成下列要求。</w:t>
      </w:r>
    </w:p>
    <w:p w14:paraId="596ED0D3">
      <w:pPr>
        <w:spacing w:before="237" w:after="0" w:line="220" w:lineRule="exact"/>
        <w:ind w:left="420" w:right="0" w:firstLine="0"/>
        <w:jc w:val="left"/>
        <w:rPr>
          <w:rFonts w:ascii="Times New Roman"/>
          <w:color w:val="000000"/>
          <w:spacing w:val="0"/>
          <w:sz w:val="21"/>
        </w:rPr>
      </w:pPr>
      <w:r>
        <w:rPr>
          <w:rFonts w:ascii="楷体" w:hAnsi="楷体" w:cs="楷体"/>
          <w:color w:val="000000"/>
          <w:spacing w:val="-3"/>
          <w:sz w:val="21"/>
        </w:rPr>
        <w:t>单边主义破坏国际秩序，保护主义损害全球经济，动荡世界急需稳定性和建设性力量。中国坚定做“赋</w:t>
      </w:r>
    </w:p>
    <w:p w14:paraId="5616341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能型大国”，以中国式现代化赋能世界现代化，展现始终秉持构建人类命运共同体理念的大国担当。</w:t>
      </w:r>
    </w:p>
    <w:p w14:paraId="51E574FE">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赋能之道，在于持续贡献增量与活力，筑牢世界经济发展之基；从穿山越岭的高铁网络到阿史沙漠中</w:t>
      </w:r>
    </w:p>
    <w:p w14:paraId="5D21C9C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的“光伏海洋”，中国助力世界经济。赋能之道，在于不断增强发展的内外联动性，以共享机遇激活共同</w:t>
      </w:r>
    </w:p>
    <w:p w14:paraId="10768BC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繁荣；从容量大、层次多、潜力巨大的中国市场到高质量共建“一带一路”，各方锚定中国机遇。赋能之</w:t>
      </w:r>
    </w:p>
    <w:p w14:paraId="02D80F7D">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道，在于以科学理念引领时代之变，在因应挑战中塑造全球发展新格局；“有为政府与有效市场互动配合”</w:t>
      </w:r>
    </w:p>
    <w:p w14:paraId="2D26BE7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“扶贫先扶志”“授人以鱼不如授人以渔”等宏观理论与微观经验不断走向世界，充实其他国家破解发展</w:t>
      </w:r>
    </w:p>
    <w:p w14:paraId="6253B7B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困局的工具箱。</w:t>
      </w:r>
    </w:p>
    <w:p w14:paraId="5B2D4DA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结合材料，运用当代国际政治与经济知识，阐释中国坚定做“赋能型大国”是如何展现“始终秉持构建人</w:t>
      </w:r>
    </w:p>
    <w:p w14:paraId="7E5D30A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类命运共同体理念的大国担当”的。</w:t>
      </w:r>
    </w:p>
    <w:p w14:paraId="5EA07472">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369107DE">
      <w:pPr>
        <w:spacing w:before="0" w:after="0" w:line="0" w:lineRule="atLeast"/>
        <w:ind w:left="0" w:right="0" w:firstLine="0"/>
        <w:jc w:val="left"/>
        <w:rPr>
          <w:rFonts w:ascii="Arial"/>
          <w:color w:val="FF0000"/>
          <w:spacing w:val="0"/>
          <w:sz w:val="2"/>
        </w:rPr>
      </w:pPr>
    </w:p>
    <w:p w14:paraId="4CB5C57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8F2717A">
      <w:pPr>
        <w:pStyle w:val="6"/>
        <w:sectPr>
          <w:pgSz w:w="11900" w:h="16840"/>
          <w:pgMar w:top="5198" w:right="100" w:bottom="0" w:left="1080" w:header="720" w:footer="720" w:gutter="0"/>
          <w:pgNumType w:start="1"/>
          <w:cols w:space="720" w:num="1"/>
          <w:docGrid w:linePitch="1" w:charSpace="0"/>
        </w:sectPr>
      </w:pPr>
    </w:p>
    <w:p w14:paraId="7B26601E">
      <w:pPr>
        <w:spacing w:before="0" w:after="0" w:line="0" w:lineRule="atLeast"/>
        <w:ind w:left="0" w:right="0" w:firstLine="0"/>
        <w:jc w:val="left"/>
        <w:rPr>
          <w:rFonts w:ascii="Arial"/>
          <w:color w:val="FF0000"/>
          <w:spacing w:val="0"/>
          <w:sz w:val="2"/>
        </w:rPr>
      </w:pPr>
    </w:p>
    <w:p w14:paraId="32D1D440">
      <w:pPr>
        <w:spacing w:before="0" w:after="0" w:line="243" w:lineRule="exact"/>
        <w:ind w:left="0" w:right="0" w:firstLine="0"/>
        <w:jc w:val="left"/>
        <w:rPr>
          <w:rFonts w:ascii="Times New Roman"/>
          <w:color w:val="000000"/>
          <w:spacing w:val="0"/>
          <w:sz w:val="21"/>
        </w:rPr>
      </w:pPr>
      <w:bookmarkStart w:id="6" w:name="br7"/>
      <w:bookmarkEnd w:id="6"/>
      <w:r>
        <w:pict>
          <v:shape id="_x0000_s1058" o:spid="_x0000_s1058" o:spt="75" type="#_x0000_t75" style="position:absolute;left:0pt;margin-left:404.15pt;margin-top:72.55pt;height:2.75pt;width:2.75pt;mso-position-horizontal-relative:page;mso-position-vertical-relative:page;z-index:-251649024;mso-width-relative:page;mso-height-relative:page;" filled="f" o:preferrelative="t" stroked="f" coordsize="21600,21600">
            <v:path/>
            <v:fill on="f" focussize="0,0"/>
            <v:stroke on="f" joinstyle="miter"/>
            <v:imagedata r:id="rId13" o:title=""/>
            <o:lock v:ext="edit" aspectratio="t"/>
          </v:shape>
        </w:pict>
      </w:r>
      <w:r>
        <w:pict>
          <v:shape id="_x0000_s1059" o:spid="_x0000_s1059" o:spt="75" type="#_x0000_t75" style="position:absolute;left:0pt;margin-left:53pt;margin-top:396pt;height:182.85pt;width:389.9pt;mso-position-horizontal-relative:page;mso-position-vertical-relative:page;z-index:-251650048;mso-width-relative:page;mso-height-relative:page;" filled="f" o:preferrelative="t" stroked="f" coordsize="21600,21600">
            <v:path/>
            <v:fill on="f" focussize="0,0"/>
            <v:stroke on="f" joinstyle="miter"/>
            <v:imagedata r:id="rId22" o:title=""/>
            <o:lock v:ext="edit" aspectratio="t"/>
          </v:shape>
        </w:pict>
      </w:r>
      <w:r>
        <w:pict>
          <v:shape id="_x0000_s1060" o:spid="_x0000_s1060" o:spt="75" type="#_x0000_t75" style="position:absolute;left:0pt;margin-left:116.8pt;margin-top:769.7pt;height:2.75pt;width:2.75pt;mso-position-horizontal-relative:page;mso-position-vertical-relative:page;z-index:-251651072;mso-width-relative:page;mso-height-relative:page;" filled="f" o:preferrelative="t" stroked="f" coordsize="21600,21600">
            <v:path/>
            <v:fill on="f" focussize="0,0"/>
            <v:stroke on="f" joinstyle="miter"/>
            <v:imagedata r:id="rId18" o:title=""/>
            <o:lock v:ext="edit" aspectratio="t"/>
          </v:shape>
        </w:pict>
      </w:r>
      <w:r>
        <w:pict>
          <v:shape id="_x0000_s1061" o:spid="_x0000_s1061" o:spt="75" type="#_x0000_t75" style="position:absolute;left:0pt;margin-left:78.55pt;margin-top:607.6pt;height:17pt;width:14.75pt;mso-position-horizontal-relative:page;mso-position-vertical-relative:page;z-index:-251652096;mso-width-relative:page;mso-height-relative:page;" filled="f" o:preferrelative="t" stroked="f" coordsize="21600,21600">
            <v:path/>
            <v:fill on="f" focussize="0,0"/>
            <v:stroke on="f" joinstyle="miter"/>
            <v:imagedata r:id="rId23" o:title=""/>
            <o:lock v:ext="edit" aspectratio="t"/>
          </v:shape>
        </w:pict>
      </w:r>
      <w:r>
        <w:pict>
          <v:shape id="_x0000_s1062" o:spid="_x0000_s1062" o:spt="75" type="#_x0000_t75" style="position:absolute;left:0pt;margin-left:47pt;margin-top:650.4pt;height:89.05pt;width:419.2pt;mso-position-horizontal-relative:page;mso-position-vertical-relative:page;z-index:-251653120;mso-width-relative:page;mso-height-relative:page;" filled="f" o:preferrelative="t" stroked="f" coordsize="21600,21600">
            <v:path/>
            <v:fill on="f" focussize="0,0"/>
            <v:stroke on="f" joinstyle="miter"/>
            <v:imagedata r:id="rId24" o:title=""/>
            <o:lock v:ext="edit" aspectratio="t"/>
          </v:shape>
        </w:pict>
      </w: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0"/>
          <w:sz w:val="21"/>
        </w:rPr>
        <w:t>阅读材料，完成下列要求。</w:t>
      </w:r>
    </w:p>
    <w:p w14:paraId="5376DF4F">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【文化之美，浸润人心；思想之光，照亮未来】</w:t>
      </w:r>
    </w:p>
    <w:p w14:paraId="31D9FBB6">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体用观是中国传统文化的一个核心范畴。先秦时期，体用观念孕育生发。宋明理学对体用的探讨发展</w:t>
      </w:r>
    </w:p>
    <w:p w14:paraId="1E9FF71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到一个新高度，</w:t>
      </w:r>
      <w:r>
        <w:rPr>
          <w:rFonts w:ascii="宋体" w:hAnsi="宋体" w:cs="宋体"/>
          <w:color w:val="000000"/>
          <w:spacing w:val="0"/>
          <w:sz w:val="21"/>
        </w:rPr>
        <w:t>“</w:t>
      </w:r>
      <w:r>
        <w:rPr>
          <w:rFonts w:ascii="楷体" w:hAnsi="楷体" w:cs="楷体"/>
          <w:color w:val="000000"/>
          <w:spacing w:val="0"/>
          <w:sz w:val="21"/>
        </w:rPr>
        <w:t>体</w:t>
      </w:r>
      <w:r>
        <w:rPr>
          <w:rFonts w:ascii="宋体" w:hAnsi="宋体" w:cs="宋体"/>
          <w:color w:val="000000"/>
          <w:spacing w:val="0"/>
          <w:sz w:val="21"/>
        </w:rPr>
        <w:t>”</w:t>
      </w:r>
      <w:r>
        <w:rPr>
          <w:rFonts w:ascii="楷体" w:hAnsi="楷体" w:cs="楷体"/>
          <w:color w:val="000000"/>
          <w:spacing w:val="0"/>
          <w:sz w:val="21"/>
        </w:rPr>
        <w:t>指文化的核心价值观念和价值原则，</w:t>
      </w:r>
      <w:r>
        <w:rPr>
          <w:rFonts w:ascii="宋体" w:hAnsi="宋体" w:cs="宋体"/>
          <w:color w:val="000000"/>
          <w:spacing w:val="0"/>
          <w:sz w:val="21"/>
        </w:rPr>
        <w:t>“</w:t>
      </w:r>
      <w:r>
        <w:rPr>
          <w:rFonts w:ascii="楷体" w:hAnsi="楷体" w:cs="楷体"/>
          <w:color w:val="000000"/>
          <w:spacing w:val="0"/>
          <w:sz w:val="21"/>
        </w:rPr>
        <w:t>用</w:t>
      </w:r>
      <w:r>
        <w:rPr>
          <w:rFonts w:ascii="宋体" w:hAnsi="宋体" w:cs="宋体"/>
          <w:color w:val="000000"/>
          <w:spacing w:val="0"/>
          <w:sz w:val="21"/>
        </w:rPr>
        <w:t>”</w:t>
      </w:r>
      <w:r>
        <w:rPr>
          <w:rFonts w:ascii="楷体" w:hAnsi="楷体" w:cs="楷体"/>
          <w:color w:val="000000"/>
          <w:spacing w:val="0"/>
          <w:sz w:val="21"/>
        </w:rPr>
        <w:t>指这些价值观念和价值原则的行为要求。</w:t>
      </w:r>
    </w:p>
    <w:p w14:paraId="376FA6A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楷体" w:hAnsi="楷体" w:cs="楷体"/>
          <w:color w:val="000000"/>
          <w:spacing w:val="0"/>
          <w:sz w:val="21"/>
        </w:rPr>
        <w:t>明体达用</w:t>
      </w:r>
      <w:r>
        <w:rPr>
          <w:rFonts w:ascii="宋体" w:hAnsi="宋体" w:cs="宋体"/>
          <w:color w:val="000000"/>
          <w:spacing w:val="0"/>
          <w:sz w:val="21"/>
        </w:rPr>
        <w:t>”</w:t>
      </w:r>
      <w:r>
        <w:rPr>
          <w:rFonts w:ascii="楷体" w:hAnsi="楷体" w:cs="楷体"/>
          <w:color w:val="000000"/>
          <w:spacing w:val="0"/>
          <w:sz w:val="21"/>
        </w:rPr>
        <w:t>在元代原义是将圣贤之道传授学生，并在此基础上用于小到为人处世、大到治国安邦的实践。</w:t>
      </w:r>
    </w:p>
    <w:p w14:paraId="56ADFD2A">
      <w:pPr>
        <w:spacing w:before="237" w:after="0" w:line="243" w:lineRule="exact"/>
        <w:ind w:left="420" w:right="0" w:firstLine="0"/>
        <w:jc w:val="left"/>
        <w:rPr>
          <w:rFonts w:ascii="Times New Roman"/>
          <w:color w:val="000000"/>
          <w:spacing w:val="0"/>
          <w:sz w:val="21"/>
        </w:rPr>
      </w:pPr>
      <w:r>
        <w:rPr>
          <w:rFonts w:ascii="楷体" w:hAnsi="楷体" w:cs="楷体"/>
          <w:color w:val="000000"/>
          <w:spacing w:val="0"/>
          <w:sz w:val="21"/>
        </w:rPr>
        <w:t>新时代，体用观被赋予新内涵。</w:t>
      </w:r>
      <w:r>
        <w:rPr>
          <w:rFonts w:ascii="Times New Roman"/>
          <w:color w:val="000000"/>
          <w:spacing w:val="0"/>
          <w:sz w:val="21"/>
        </w:rPr>
        <w:t xml:space="preserve">2023 </w:t>
      </w:r>
      <w:r>
        <w:rPr>
          <w:rFonts w:ascii="楷体" w:hAnsi="楷体" w:cs="楷体"/>
          <w:color w:val="000000"/>
          <w:spacing w:val="0"/>
          <w:sz w:val="21"/>
        </w:rPr>
        <w:t>年召开的全国宣传思想文化工作会议正式提出习近平文化思想，</w:t>
      </w:r>
    </w:p>
    <w:p w14:paraId="18E3648D">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并以</w:t>
      </w:r>
      <w:r>
        <w:rPr>
          <w:rFonts w:ascii="宋体" w:hAnsi="宋体" w:cs="宋体"/>
          <w:color w:val="000000"/>
          <w:spacing w:val="0"/>
          <w:sz w:val="21"/>
        </w:rPr>
        <w:t>“</w:t>
      </w:r>
      <w:r>
        <w:rPr>
          <w:rFonts w:ascii="楷体" w:hAnsi="楷体" w:cs="楷体"/>
          <w:color w:val="000000"/>
          <w:spacing w:val="-2"/>
          <w:sz w:val="21"/>
        </w:rPr>
        <w:t>明体达用、体用贯通</w:t>
      </w:r>
      <w:r>
        <w:rPr>
          <w:rFonts w:ascii="宋体" w:hAnsi="宋体" w:cs="宋体"/>
          <w:color w:val="000000"/>
          <w:spacing w:val="0"/>
          <w:sz w:val="21"/>
        </w:rPr>
        <w:t>”</w:t>
      </w:r>
      <w:r>
        <w:rPr>
          <w:rFonts w:ascii="楷体" w:hAnsi="楷体" w:cs="楷体"/>
          <w:color w:val="000000"/>
          <w:spacing w:val="0"/>
          <w:sz w:val="21"/>
        </w:rPr>
        <w:t>对习近平文化思想的理论品质作出鲜明概括。</w:t>
      </w:r>
      <w:r>
        <w:rPr>
          <w:rFonts w:ascii="宋体" w:hAnsi="宋体" w:cs="宋体"/>
          <w:color w:val="000000"/>
          <w:spacing w:val="0"/>
          <w:sz w:val="21"/>
        </w:rPr>
        <w:t>“</w:t>
      </w:r>
      <w:r>
        <w:rPr>
          <w:rFonts w:ascii="楷体" w:hAnsi="楷体" w:cs="楷体"/>
          <w:color w:val="000000"/>
          <w:spacing w:val="0"/>
          <w:sz w:val="21"/>
        </w:rPr>
        <w:t>明体</w:t>
      </w:r>
      <w:r>
        <w:rPr>
          <w:rFonts w:ascii="宋体" w:hAnsi="宋体" w:cs="宋体"/>
          <w:color w:val="000000"/>
          <w:spacing w:val="0"/>
          <w:sz w:val="21"/>
        </w:rPr>
        <w:t>”</w:t>
      </w:r>
      <w:r>
        <w:rPr>
          <w:rFonts w:ascii="楷体" w:hAnsi="楷体" w:cs="楷体"/>
          <w:color w:val="000000"/>
          <w:spacing w:val="0"/>
          <w:sz w:val="21"/>
        </w:rPr>
        <w:t>体现为习近平文化思想</w:t>
      </w:r>
    </w:p>
    <w:p w14:paraId="40B27A9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在文化理论观点上的创新突破，</w:t>
      </w:r>
      <w:r>
        <w:rPr>
          <w:rFonts w:ascii="宋体" w:hAnsi="宋体" w:cs="宋体"/>
          <w:color w:val="000000"/>
          <w:spacing w:val="0"/>
          <w:sz w:val="21"/>
        </w:rPr>
        <w:t>“</w:t>
      </w:r>
      <w:r>
        <w:rPr>
          <w:rFonts w:ascii="楷体" w:hAnsi="楷体" w:cs="楷体"/>
          <w:color w:val="000000"/>
          <w:spacing w:val="0"/>
          <w:sz w:val="21"/>
        </w:rPr>
        <w:t>达用</w:t>
      </w:r>
      <w:r>
        <w:rPr>
          <w:rFonts w:ascii="宋体" w:hAnsi="宋体" w:cs="宋体"/>
          <w:color w:val="000000"/>
          <w:spacing w:val="0"/>
          <w:sz w:val="21"/>
        </w:rPr>
        <w:t>”</w:t>
      </w:r>
      <w:r>
        <w:rPr>
          <w:rFonts w:ascii="楷体" w:hAnsi="楷体" w:cs="楷体"/>
          <w:color w:val="000000"/>
          <w:spacing w:val="0"/>
          <w:sz w:val="21"/>
        </w:rPr>
        <w:t>体现为习近平文化思想在文化工作布局上的部署要求，</w:t>
      </w:r>
      <w:r>
        <w:rPr>
          <w:rFonts w:ascii="宋体" w:hAnsi="宋体" w:cs="宋体"/>
          <w:color w:val="000000"/>
          <w:spacing w:val="0"/>
          <w:sz w:val="21"/>
        </w:rPr>
        <w:t>“</w:t>
      </w:r>
      <w:r>
        <w:rPr>
          <w:rFonts w:ascii="楷体" w:hAnsi="楷体" w:cs="楷体"/>
          <w:color w:val="000000"/>
          <w:spacing w:val="0"/>
          <w:sz w:val="21"/>
        </w:rPr>
        <w:t>贯通</w:t>
      </w:r>
      <w:r>
        <w:rPr>
          <w:rFonts w:ascii="宋体" w:hAnsi="宋体" w:cs="宋体"/>
          <w:color w:val="000000"/>
          <w:spacing w:val="0"/>
          <w:sz w:val="21"/>
        </w:rPr>
        <w:t>”</w:t>
      </w:r>
      <w:r>
        <w:rPr>
          <w:rFonts w:ascii="楷体" w:hAnsi="楷体" w:cs="楷体"/>
          <w:color w:val="000000"/>
          <w:spacing w:val="0"/>
          <w:sz w:val="21"/>
        </w:rPr>
        <w:t>体</w:t>
      </w:r>
    </w:p>
    <w:p w14:paraId="5A7E3C9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现为文化理论与文化实践的有机统一。</w:t>
      </w:r>
    </w:p>
    <w:p w14:paraId="3B6ECC9C">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）体用观随着时代发展不断被赋予新内涵。结合材料，运用“唯物辩证法的发展观”知识加以分析。</w:t>
      </w:r>
    </w:p>
    <w:p w14:paraId="4FEB5655">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【创业之路，法律相伴；创新之旅，思维启智】</w:t>
      </w:r>
    </w:p>
    <w:p w14:paraId="39265065">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习近平总书记指出，青年学生富有想象力和创造力，是创新创业的有生力量。某地鼓励大学生</w:t>
      </w:r>
      <w:r>
        <w:rPr>
          <w:rFonts w:ascii="宋体" w:hAnsi="宋体" w:cs="宋体"/>
          <w:color w:val="000000"/>
          <w:spacing w:val="0"/>
          <w:sz w:val="21"/>
        </w:rPr>
        <w:t>“</w:t>
      </w:r>
      <w:r>
        <w:rPr>
          <w:rFonts w:ascii="楷体" w:hAnsi="楷体" w:cs="楷体"/>
          <w:color w:val="000000"/>
          <w:spacing w:val="0"/>
          <w:sz w:val="21"/>
        </w:rPr>
        <w:t>背着</w:t>
      </w:r>
    </w:p>
    <w:p w14:paraId="75A12E57">
      <w:pPr>
        <w:spacing w:before="237" w:after="0" w:line="243" w:lineRule="exact"/>
        <w:ind w:left="0" w:right="0" w:firstLine="0"/>
        <w:jc w:val="left"/>
        <w:rPr>
          <w:rFonts w:ascii="Times New Roman"/>
          <w:color w:val="000000"/>
          <w:spacing w:val="0"/>
          <w:sz w:val="21"/>
        </w:rPr>
      </w:pPr>
      <w:r>
        <w:rPr>
          <w:rFonts w:ascii="楷体" w:hAnsi="楷体" w:cs="楷体"/>
          <w:color w:val="000000"/>
          <w:spacing w:val="0"/>
          <w:sz w:val="21"/>
        </w:rPr>
        <w:t>双肩包来创业</w:t>
      </w:r>
      <w:r>
        <w:rPr>
          <w:rFonts w:ascii="宋体" w:hAnsi="宋体" w:cs="宋体"/>
          <w:color w:val="000000"/>
          <w:spacing w:val="0"/>
          <w:sz w:val="21"/>
        </w:rPr>
        <w:t>”</w:t>
      </w:r>
      <w:r>
        <w:rPr>
          <w:rFonts w:ascii="楷体" w:hAnsi="楷体" w:cs="楷体"/>
          <w:color w:val="000000"/>
          <w:spacing w:val="0"/>
          <w:sz w:val="21"/>
        </w:rPr>
        <w:t>，设立青年创业就业公共法律服务中心，以法治护航青年创业。小王大学毕业后创办</w:t>
      </w:r>
      <w:r>
        <w:rPr>
          <w:rFonts w:ascii="宋体" w:hAnsi="宋体" w:cs="宋体"/>
          <w:color w:val="000000"/>
          <w:spacing w:val="0"/>
          <w:sz w:val="21"/>
        </w:rPr>
        <w:t>“</w:t>
      </w:r>
      <w:r>
        <w:rPr>
          <w:rFonts w:ascii="Times New Roman"/>
          <w:color w:val="000000"/>
          <w:spacing w:val="0"/>
          <w:sz w:val="21"/>
        </w:rPr>
        <w:t>AI</w:t>
      </w:r>
    </w:p>
    <w:p w14:paraId="7D48A0C6">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+文创</w:t>
      </w:r>
      <w:r>
        <w:rPr>
          <w:rFonts w:ascii="宋体" w:hAnsi="宋体" w:cs="宋体"/>
          <w:color w:val="000000"/>
          <w:spacing w:val="0"/>
          <w:sz w:val="21"/>
        </w:rPr>
        <w:t>”</w:t>
      </w:r>
      <w:r>
        <w:rPr>
          <w:rFonts w:ascii="楷体" w:hAnsi="楷体" w:cs="楷体"/>
          <w:color w:val="000000"/>
          <w:spacing w:val="0"/>
          <w:sz w:val="21"/>
        </w:rPr>
        <w:t>企业。近期，他遇到了困惑，为此来到该服务中心咨询。</w:t>
      </w:r>
    </w:p>
    <w:p w14:paraId="7C6578D5">
      <w:pPr>
        <w:spacing w:before="3983"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）运用法律与生活知识，如果你是工作人员，将如何为小王解惑？</w:t>
      </w:r>
    </w:p>
    <w:p w14:paraId="48DA571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w:t>
      </w:r>
      <w:r>
        <w:rPr>
          <w:rFonts w:ascii="Times New Roman"/>
          <w:color w:val="000000"/>
          <w:spacing w:val="183"/>
          <w:sz w:val="21"/>
        </w:rPr>
        <w:t xml:space="preserve"> </w:t>
      </w:r>
      <w:r>
        <w:rPr>
          <w:rFonts w:ascii="宋体" w:hAnsi="宋体" w:cs="宋体"/>
          <w:color w:val="000000"/>
          <w:spacing w:val="-1"/>
          <w:sz w:val="21"/>
        </w:rPr>
        <w:t>提高销售业绩，小王调查了两家文创企业经营状况，并运用不完全归纳推理方法进行分析。请你完</w:t>
      </w:r>
    </w:p>
    <w:p w14:paraId="40251DC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成下表。</w:t>
      </w:r>
    </w:p>
    <w:p w14:paraId="2661DEED">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场合</w:t>
      </w:r>
      <w:r>
        <w:rPr>
          <w:rFonts w:ascii="Times New Roman"/>
          <w:color w:val="000000"/>
          <w:spacing w:val="474"/>
          <w:sz w:val="21"/>
        </w:rPr>
        <w:t xml:space="preserve"> </w:t>
      </w:r>
      <w:r>
        <w:rPr>
          <w:rFonts w:ascii="宋体" w:hAnsi="宋体" w:cs="宋体"/>
          <w:color w:val="000000"/>
          <w:spacing w:val="0"/>
          <w:sz w:val="21"/>
        </w:rPr>
        <w:t>先行因素</w:t>
      </w:r>
      <w:r>
        <w:rPr>
          <w:rFonts w:ascii="Times New Roman"/>
          <w:color w:val="000000"/>
          <w:spacing w:val="3713"/>
          <w:sz w:val="21"/>
        </w:rPr>
        <w:t xml:space="preserve"> </w:t>
      </w:r>
      <w:r>
        <w:rPr>
          <w:rFonts w:ascii="宋体" w:hAnsi="宋体" w:cs="宋体"/>
          <w:color w:val="000000"/>
          <w:spacing w:val="0"/>
          <w:sz w:val="21"/>
        </w:rPr>
        <w:t>被研究现象</w:t>
      </w:r>
    </w:p>
    <w:p w14:paraId="5C768778">
      <w:pPr>
        <w:spacing w:before="413" w:after="0" w:line="220" w:lineRule="exact"/>
        <w:ind w:left="947" w:right="0" w:firstLine="0"/>
        <w:jc w:val="left"/>
        <w:rPr>
          <w:rFonts w:ascii="Times New Roman"/>
          <w:color w:val="000000"/>
          <w:spacing w:val="0"/>
          <w:sz w:val="21"/>
        </w:rPr>
      </w:pPr>
      <w:r>
        <w:rPr>
          <w:rFonts w:ascii="宋体" w:hAnsi="宋体" w:cs="宋体"/>
          <w:color w:val="000000"/>
          <w:spacing w:val="0"/>
          <w:sz w:val="21"/>
        </w:rPr>
        <w:t>增加商品种类：提高商品质量：提高物流时效；</w:t>
      </w:r>
    </w:p>
    <w:p w14:paraId="18042B81">
      <w:pPr>
        <w:spacing w:before="3" w:after="0" w:line="243" w:lineRule="exact"/>
        <w:ind w:left="0" w:right="0" w:firstLine="0"/>
        <w:jc w:val="left"/>
        <w:rPr>
          <w:rFonts w:ascii="Times New Roman"/>
          <w:color w:val="000000"/>
          <w:spacing w:val="0"/>
          <w:sz w:val="21"/>
        </w:rPr>
      </w:pPr>
      <w:r>
        <w:rPr>
          <w:rFonts w:ascii="宋体" w:hAnsi="宋体" w:cs="宋体"/>
          <w:color w:val="000000"/>
          <w:spacing w:val="0"/>
          <w:sz w:val="21"/>
        </w:rPr>
        <w:t>企业</w:t>
      </w:r>
      <w:r>
        <w:rPr>
          <w:rFonts w:ascii="Times New Roman"/>
          <w:color w:val="000000"/>
          <w:spacing w:val="0"/>
          <w:sz w:val="21"/>
        </w:rPr>
        <w:t xml:space="preserve"> 1</w:t>
      </w:r>
      <w:r>
        <w:rPr>
          <w:rFonts w:ascii="Times New Roman"/>
          <w:color w:val="000000"/>
          <w:spacing w:val="4922"/>
          <w:sz w:val="21"/>
        </w:rPr>
        <w:t xml:space="preserve"> </w:t>
      </w:r>
      <w:r>
        <w:rPr>
          <w:rFonts w:ascii="宋体" w:hAnsi="宋体" w:cs="宋体"/>
          <w:color w:val="000000"/>
          <w:spacing w:val="0"/>
          <w:sz w:val="21"/>
        </w:rPr>
        <w:t>销售业绩好</w:t>
      </w:r>
    </w:p>
    <w:p w14:paraId="426BB136">
      <w:pPr>
        <w:spacing w:before="3" w:after="0" w:line="220" w:lineRule="exact"/>
        <w:ind w:left="947" w:right="0" w:firstLine="0"/>
        <w:jc w:val="left"/>
        <w:rPr>
          <w:rFonts w:ascii="Times New Roman"/>
          <w:color w:val="000000"/>
          <w:spacing w:val="0"/>
          <w:sz w:val="21"/>
        </w:rPr>
      </w:pPr>
      <w:r>
        <w:rPr>
          <w:rFonts w:ascii="宋体" w:hAnsi="宋体" w:cs="宋体"/>
          <w:color w:val="000000"/>
          <w:spacing w:val="0"/>
          <w:sz w:val="21"/>
        </w:rPr>
        <w:t>优化售后服务</w:t>
      </w:r>
    </w:p>
    <w:p w14:paraId="637ABBDC">
      <w:pPr>
        <w:spacing w:before="80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622771EA">
      <w:pPr>
        <w:spacing w:before="0" w:after="0" w:line="0" w:lineRule="atLeast"/>
        <w:ind w:left="0" w:right="0" w:firstLine="0"/>
        <w:jc w:val="left"/>
        <w:rPr>
          <w:rFonts w:ascii="Arial"/>
          <w:color w:val="FF0000"/>
          <w:spacing w:val="0"/>
          <w:sz w:val="2"/>
        </w:rPr>
      </w:pPr>
    </w:p>
    <w:p w14:paraId="5B92E9B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1970292">
      <w:pPr>
        <w:pStyle w:val="6"/>
        <w:sectPr>
          <w:pgSz w:w="11900" w:h="16840"/>
          <w:pgMar w:top="1440" w:right="100" w:bottom="0" w:left="1080" w:header="720" w:footer="720" w:gutter="0"/>
          <w:pgNumType w:start="1"/>
          <w:cols w:space="720" w:num="1"/>
          <w:docGrid w:linePitch="1" w:charSpace="0"/>
        </w:sectPr>
      </w:pPr>
    </w:p>
    <w:p w14:paraId="0EE32569">
      <w:pPr>
        <w:spacing w:before="0" w:after="0" w:line="0" w:lineRule="atLeast"/>
        <w:ind w:left="0" w:right="0" w:firstLine="0"/>
        <w:jc w:val="left"/>
        <w:rPr>
          <w:rFonts w:ascii="Arial"/>
          <w:color w:val="FF0000"/>
          <w:spacing w:val="0"/>
          <w:sz w:val="2"/>
        </w:rPr>
      </w:pPr>
      <w:bookmarkStart w:id="8" w:name="_GoBack"/>
      <w:bookmarkEnd w:id="8"/>
    </w:p>
    <w:p w14:paraId="4869F521">
      <w:pPr>
        <w:spacing w:before="0" w:after="0" w:line="243" w:lineRule="exact"/>
        <w:ind w:left="0" w:right="0" w:firstLine="0"/>
        <w:jc w:val="left"/>
        <w:rPr>
          <w:rFonts w:ascii="Times New Roman"/>
          <w:color w:val="000000"/>
          <w:spacing w:val="0"/>
          <w:sz w:val="21"/>
        </w:rPr>
      </w:pPr>
      <w:bookmarkStart w:id="7" w:name="br8"/>
      <w:bookmarkEnd w:id="7"/>
      <w:r>
        <w:pict>
          <v:shape id="_x0000_s1063" o:spid="_x0000_s1063" o:spt="75" type="#_x0000_t75" style="position:absolute;left:0pt;margin-left:47pt;margin-top:63.5pt;height:67.35pt;width:455.65pt;mso-position-horizontal-relative:page;mso-position-vertical-relative:page;z-index:-251654144;mso-width-relative:page;mso-height-relative:page;" filled="f" o:preferrelative="t" stroked="f" coordsize="21600,21600">
            <v:path/>
            <v:fill on="f" focussize="0,0"/>
            <v:stroke on="f"/>
            <v:imagedata r:id="rId25" croptop="15970f" cropright="-5698f" o:title=""/>
            <o:lock v:ext="edit" aspectratio="t"/>
          </v:shape>
        </w:pict>
      </w:r>
      <w:r>
        <w:pict>
          <v:shape id="_x0000_s1064" o:spid="_x0000_s1064" o:spt="75" type="#_x0000_t75" style="position:absolute;left:0pt;margin-left:212.1pt;margin-top:473.3pt;height:5.75pt;width:5pt;mso-position-horizontal-relative:page;mso-position-vertical-relative:page;z-index:-251655168;mso-width-relative:page;mso-height-relative:page;" filled="f" o:preferrelative="t" stroked="f" coordsize="21600,21600">
            <v:path/>
            <v:fill on="f" focussize="0,0"/>
            <v:stroke on="f" joinstyle="miter"/>
            <v:imagedata r:id="rId12" o:title=""/>
            <o:lock v:ext="edit" aspectratio="t"/>
          </v:shape>
        </w:pict>
      </w:r>
      <w:r>
        <w:pict>
          <v:shape id="_x0000_s1065" o:spid="_x0000_s1065" o:spt="75" type="#_x0000_t75" style="position:absolute;left:0pt;margin-left:116.8pt;margin-top:769.7pt;height:2.75pt;width:2.75pt;mso-position-horizontal-relative:page;mso-position-vertical-relative:page;z-index:-251656192;mso-width-relative:page;mso-height-relative:page;" filled="f" o:preferrelative="t" stroked="f" coordsize="21600,21600">
            <v:path/>
            <v:fill on="f" focussize="0,0"/>
            <v:stroke on="f" joinstyle="miter"/>
            <v:imagedata r:id="rId13" o:title=""/>
            <o:lock v:ext="edit" aspectratio="t"/>
          </v:shape>
        </w:pict>
      </w:r>
      <w:r>
        <w:pict>
          <v:shape id="_x0000_s1066" o:spid="_x0000_s1066" o:spt="75" type="#_x0000_t75" style="position:absolute;left:0pt;margin-left:47pt;margin-top:199.35pt;height:161.1pt;width:419.2pt;mso-position-horizontal-relative:page;mso-position-vertical-relative:page;z-index:-251657216;mso-width-relative:page;mso-height-relative:page;" filled="f" o:preferrelative="t" stroked="f" coordsize="21600,21600">
            <v:path/>
            <v:fill on="f" focussize="0,0"/>
            <v:stroke on="f" joinstyle="miter"/>
            <v:imagedata r:id="rId26" o:title=""/>
            <o:lock v:ext="edit" aspectratio="t"/>
          </v:shape>
        </w:pict>
      </w:r>
      <w:r>
        <w:rPr>
          <w:rFonts w:ascii="宋体" w:hAnsi="宋体" w:cs="宋体"/>
          <w:color w:val="000000"/>
          <w:spacing w:val="0"/>
          <w:sz w:val="21"/>
        </w:rPr>
        <w:t>企业</w:t>
      </w:r>
      <w:r>
        <w:rPr>
          <w:rFonts w:ascii="Times New Roman"/>
          <w:color w:val="000000"/>
          <w:spacing w:val="0"/>
          <w:sz w:val="21"/>
        </w:rPr>
        <w:t xml:space="preserve"> 2</w:t>
      </w:r>
      <w:r>
        <w:rPr>
          <w:rFonts w:ascii="Times New Roman"/>
          <w:color w:val="000000"/>
          <w:spacing w:val="317"/>
          <w:sz w:val="21"/>
        </w:rPr>
        <w:t xml:space="preserve"> </w:t>
      </w:r>
      <w:r>
        <w:rPr>
          <w:rFonts w:ascii="宋体" w:hAnsi="宋体" w:cs="宋体"/>
          <w:color w:val="000000"/>
          <w:spacing w:val="0"/>
          <w:sz w:val="21"/>
        </w:rPr>
        <w:t>增加商品种类；提高物流时效；优化售后服务</w:t>
      </w:r>
      <w:r>
        <w:rPr>
          <w:rFonts w:ascii="Times New Roman"/>
          <w:color w:val="000000"/>
          <w:spacing w:val="351"/>
          <w:sz w:val="21"/>
        </w:rPr>
        <w:t xml:space="preserve"> </w:t>
      </w:r>
      <w:r>
        <w:rPr>
          <w:rFonts w:ascii="宋体" w:hAnsi="宋体" w:cs="宋体"/>
          <w:color w:val="000000"/>
          <w:spacing w:val="0"/>
          <w:sz w:val="21"/>
        </w:rPr>
        <w:t>销售业绩一般</w:t>
      </w:r>
    </w:p>
    <w:p w14:paraId="5E09F9F2">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结论：①</w:t>
      </w:r>
      <w:r>
        <w:rPr>
          <w:rFonts w:ascii="Times New Roman"/>
          <w:color w:val="000000"/>
          <w:spacing w:val="0"/>
          <w:sz w:val="21"/>
        </w:rPr>
        <w:t>____</w:t>
      </w:r>
      <w:r>
        <w:rPr>
          <w:rFonts w:ascii="宋体" w:hAnsi="宋体" w:cs="宋体"/>
          <w:color w:val="000000"/>
          <w:spacing w:val="0"/>
          <w:sz w:val="21"/>
        </w:rPr>
        <w:t>的原因。这运用了③</w:t>
      </w:r>
      <w:r>
        <w:rPr>
          <w:rFonts w:ascii="Times New Roman"/>
          <w:color w:val="000000"/>
          <w:spacing w:val="0"/>
          <w:sz w:val="21"/>
        </w:rPr>
        <w:t>____</w:t>
      </w:r>
      <w:r>
        <w:rPr>
          <w:rFonts w:ascii="宋体" w:hAnsi="宋体" w:cs="宋体"/>
          <w:color w:val="000000"/>
          <w:spacing w:val="0"/>
          <w:sz w:val="21"/>
        </w:rPr>
        <w:t>可能是②</w:t>
      </w:r>
      <w:r>
        <w:rPr>
          <w:rFonts w:ascii="Times New Roman"/>
          <w:color w:val="000000"/>
          <w:spacing w:val="0"/>
          <w:sz w:val="21"/>
        </w:rPr>
        <w:t>____</w:t>
      </w:r>
      <w:r>
        <w:rPr>
          <w:rFonts w:ascii="宋体" w:hAnsi="宋体" w:cs="宋体"/>
          <w:color w:val="000000"/>
          <w:spacing w:val="0"/>
          <w:sz w:val="21"/>
        </w:rPr>
        <w:t>的方法。</w:t>
      </w:r>
    </w:p>
    <w:p w14:paraId="759F819C">
      <w:pPr>
        <w:spacing w:before="78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）如果你是创业者，运用一种探求因果联系的不完全归纳推理方法，完成下表，不得运用本题（</w:t>
      </w:r>
      <w:r>
        <w:rPr>
          <w:rFonts w:ascii="Times New Roman"/>
          <w:color w:val="000000"/>
          <w:spacing w:val="0"/>
          <w:sz w:val="21"/>
        </w:rPr>
        <w:t>3</w:t>
      </w:r>
      <w:r>
        <w:rPr>
          <w:rFonts w:ascii="宋体" w:hAnsi="宋体" w:cs="宋体"/>
          <w:color w:val="000000"/>
          <w:spacing w:val="0"/>
          <w:sz w:val="21"/>
        </w:rPr>
        <w:t>）中</w:t>
      </w:r>
    </w:p>
    <w:p w14:paraId="5013ED2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的方法。</w:t>
      </w:r>
    </w:p>
    <w:p w14:paraId="57B30C49">
      <w:pPr>
        <w:spacing w:before="327" w:after="0" w:line="243" w:lineRule="exact"/>
        <w:ind w:left="0" w:right="0" w:firstLine="0"/>
        <w:jc w:val="left"/>
        <w:rPr>
          <w:rFonts w:ascii="Times New Roman"/>
          <w:color w:val="000000"/>
          <w:spacing w:val="0"/>
          <w:sz w:val="21"/>
        </w:rPr>
      </w:pPr>
      <w:r>
        <w:rPr>
          <w:rFonts w:ascii="宋体" w:hAnsi="宋体" w:cs="宋体"/>
          <w:color w:val="000000"/>
          <w:spacing w:val="0"/>
          <w:sz w:val="21"/>
        </w:rPr>
        <w:t>创业项目：①</w:t>
      </w:r>
      <w:r>
        <w:rPr>
          <w:rFonts w:ascii="Times New Roman"/>
          <w:color w:val="000000"/>
          <w:spacing w:val="0"/>
          <w:sz w:val="21"/>
        </w:rPr>
        <w:t>____</w:t>
      </w:r>
    </w:p>
    <w:p w14:paraId="2B76B047">
      <w:pPr>
        <w:spacing w:before="402" w:after="0" w:line="220" w:lineRule="exact"/>
        <w:ind w:left="0" w:right="0" w:firstLine="0"/>
        <w:jc w:val="left"/>
        <w:rPr>
          <w:rFonts w:ascii="Times New Roman"/>
          <w:color w:val="000000"/>
          <w:spacing w:val="0"/>
          <w:sz w:val="21"/>
        </w:rPr>
      </w:pPr>
      <w:r>
        <w:rPr>
          <w:rFonts w:ascii="宋体" w:hAnsi="宋体" w:cs="宋体"/>
          <w:color w:val="000000"/>
          <w:spacing w:val="0"/>
          <w:sz w:val="21"/>
        </w:rPr>
        <w:t>场合</w:t>
      </w:r>
      <w:r>
        <w:rPr>
          <w:rFonts w:ascii="Times New Roman"/>
          <w:color w:val="000000"/>
          <w:spacing w:val="2303"/>
          <w:sz w:val="21"/>
        </w:rPr>
        <w:t xml:space="preserve"> </w:t>
      </w:r>
      <w:r>
        <w:rPr>
          <w:rFonts w:ascii="宋体" w:hAnsi="宋体" w:cs="宋体"/>
          <w:color w:val="000000"/>
          <w:spacing w:val="0"/>
          <w:sz w:val="21"/>
        </w:rPr>
        <w:t>先行因素</w:t>
      </w:r>
      <w:r>
        <w:rPr>
          <w:rFonts w:ascii="Times New Roman"/>
          <w:color w:val="000000"/>
          <w:spacing w:val="1883"/>
          <w:sz w:val="21"/>
        </w:rPr>
        <w:t xml:space="preserve"> </w:t>
      </w:r>
      <w:r>
        <w:rPr>
          <w:rFonts w:ascii="宋体" w:hAnsi="宋体" w:cs="宋体"/>
          <w:color w:val="000000"/>
          <w:spacing w:val="0"/>
          <w:sz w:val="21"/>
        </w:rPr>
        <w:t>被研究现象</w:t>
      </w:r>
    </w:p>
    <w:p w14:paraId="50B76C47">
      <w:pPr>
        <w:spacing w:before="402"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2619"/>
          <w:sz w:val="21"/>
        </w:rPr>
        <w:t xml:space="preserve"> </w:t>
      </w:r>
      <w:r>
        <w:rPr>
          <w:rFonts w:ascii="宋体" w:hAnsi="宋体" w:cs="宋体"/>
          <w:color w:val="000000"/>
          <w:spacing w:val="0"/>
          <w:sz w:val="21"/>
        </w:rPr>
        <w:t>④</w:t>
      </w:r>
      <w:r>
        <w:rPr>
          <w:rFonts w:ascii="Times New Roman"/>
          <w:color w:val="000000"/>
          <w:spacing w:val="0"/>
          <w:sz w:val="21"/>
        </w:rPr>
        <w:t>____</w:t>
      </w:r>
      <w:r>
        <w:rPr>
          <w:rFonts w:ascii="Times New Roman"/>
          <w:color w:val="000000"/>
          <w:spacing w:val="2093"/>
          <w:sz w:val="21"/>
        </w:rPr>
        <w:t xml:space="preserve"> </w:t>
      </w:r>
      <w:r>
        <w:rPr>
          <w:rFonts w:ascii="宋体" w:hAnsi="宋体" w:cs="宋体"/>
          <w:color w:val="000000"/>
          <w:spacing w:val="0"/>
          <w:sz w:val="21"/>
        </w:rPr>
        <w:t>③</w:t>
      </w:r>
      <w:r>
        <w:rPr>
          <w:rFonts w:ascii="Times New Roman"/>
          <w:color w:val="000000"/>
          <w:spacing w:val="0"/>
          <w:sz w:val="21"/>
        </w:rPr>
        <w:t>____</w:t>
      </w:r>
    </w:p>
    <w:p w14:paraId="74579173">
      <w:pPr>
        <w:spacing w:before="391"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2619"/>
          <w:sz w:val="21"/>
        </w:rPr>
        <w:t xml:space="preserve"> </w:t>
      </w:r>
      <w:r>
        <w:rPr>
          <w:rFonts w:ascii="宋体" w:hAnsi="宋体" w:cs="宋体"/>
          <w:color w:val="000000"/>
          <w:spacing w:val="0"/>
          <w:sz w:val="21"/>
        </w:rPr>
        <w:t>②</w:t>
      </w:r>
      <w:r>
        <w:rPr>
          <w:rFonts w:ascii="Times New Roman"/>
          <w:color w:val="000000"/>
          <w:spacing w:val="0"/>
          <w:sz w:val="21"/>
        </w:rPr>
        <w:t>____</w:t>
      </w:r>
      <w:r>
        <w:rPr>
          <w:rFonts w:ascii="Times New Roman"/>
          <w:color w:val="000000"/>
          <w:spacing w:val="2093"/>
          <w:sz w:val="21"/>
        </w:rPr>
        <w:t xml:space="preserve"> </w:t>
      </w:r>
      <w:r>
        <w:rPr>
          <w:rFonts w:ascii="宋体" w:hAnsi="宋体" w:cs="宋体"/>
          <w:color w:val="000000"/>
          <w:spacing w:val="0"/>
          <w:sz w:val="21"/>
        </w:rPr>
        <w:t>⑤</w:t>
      </w:r>
      <w:r>
        <w:rPr>
          <w:rFonts w:ascii="Times New Roman"/>
          <w:color w:val="000000"/>
          <w:spacing w:val="0"/>
          <w:sz w:val="21"/>
        </w:rPr>
        <w:t>____</w:t>
      </w:r>
    </w:p>
    <w:p w14:paraId="7DE34831">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结论：⑥</w:t>
      </w:r>
      <w:r>
        <w:rPr>
          <w:rFonts w:ascii="Times New Roman"/>
          <w:color w:val="000000"/>
          <w:spacing w:val="0"/>
          <w:sz w:val="21"/>
        </w:rPr>
        <w:t>____</w:t>
      </w:r>
      <w:r>
        <w:rPr>
          <w:rFonts w:ascii="宋体" w:hAnsi="宋体" w:cs="宋体"/>
          <w:color w:val="000000"/>
          <w:spacing w:val="0"/>
          <w:sz w:val="21"/>
        </w:rPr>
        <w:t>的原因。这运用了⑦</w:t>
      </w:r>
      <w:r>
        <w:rPr>
          <w:rFonts w:ascii="Times New Roman"/>
          <w:color w:val="000000"/>
          <w:spacing w:val="0"/>
          <w:sz w:val="21"/>
        </w:rPr>
        <w:t>____</w:t>
      </w:r>
      <w:r>
        <w:rPr>
          <w:rFonts w:ascii="宋体" w:hAnsi="宋体" w:cs="宋体"/>
          <w:color w:val="000000"/>
          <w:spacing w:val="0"/>
          <w:sz w:val="21"/>
        </w:rPr>
        <w:t>的方法。</w:t>
      </w:r>
    </w:p>
    <w:p w14:paraId="39EA56BA">
      <w:pPr>
        <w:spacing w:before="837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sectPr>
      <w:pgSz w:w="11900" w:h="16840"/>
      <w:pgMar w:top="1530"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02D0D476-122F-4DF0-A8C1-2D849BA959DF}"/>
  </w:font>
  <w:font w:name="宋体">
    <w:panose1 w:val="02010600030101010101"/>
    <w:charset w:val="86"/>
    <w:family w:val="auto"/>
    <w:pitch w:val="default"/>
    <w:sig w:usb0="00000003" w:usb1="288F0000" w:usb2="00000006" w:usb3="00000000" w:csb0="00040001" w:csb1="00000000"/>
    <w:embedRegular r:id="rId2" w:fontKey="{78E80785-DB8E-4C26-9D3E-9E1E9EB3069F}"/>
  </w:font>
  <w:font w:name="Wingdings">
    <w:panose1 w:val="05000000000000000000"/>
    <w:charset w:val="02"/>
    <w:family w:val="auto"/>
    <w:pitch w:val="default"/>
    <w:sig w:usb0="00000000" w:usb1="00000000" w:usb2="00000000" w:usb3="00000000" w:csb0="80000000" w:csb1="00000000"/>
    <w:embedRegular r:id="rId3" w:fontKey="{0D985608-A843-45E7-A66F-7269F38CF3C8}"/>
  </w:font>
  <w:font w:name="Arial">
    <w:panose1 w:val="020B0604020202020204"/>
    <w:charset w:val="01"/>
    <w:family w:val="swiss"/>
    <w:pitch w:val="default"/>
    <w:sig w:usb0="E0002AFF" w:usb1="C0007843" w:usb2="00000009" w:usb3="00000000" w:csb0="400001FF" w:csb1="FFFF0000"/>
    <w:embedRegular r:id="rId4" w:fontKey="{2970CEAC-91C6-48F5-A7EA-74C78FE6E20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65348A43-7C06-45C1-9C24-A43C343E27E0}"/>
  </w:font>
  <w:font w:name="Symbol">
    <w:panose1 w:val="05050102010706020507"/>
    <w:charset w:val="02"/>
    <w:family w:val="roman"/>
    <w:pitch w:val="default"/>
    <w:sig w:usb0="00000000" w:usb1="00000000" w:usb2="00000000" w:usb3="00000000" w:csb0="80000000" w:csb1="00000000"/>
    <w:embedRegular r:id="rId6" w:fontKey="{EA7778BE-4D29-45E6-B755-6AE14E812BE9}"/>
  </w:font>
  <w:font w:name="Calibri">
    <w:panose1 w:val="020F0502020204030204"/>
    <w:charset w:val="00"/>
    <w:family w:val="swiss"/>
    <w:pitch w:val="default"/>
    <w:sig w:usb0="E00002FF" w:usb1="4000ACFF" w:usb2="00000001" w:usb3="00000000" w:csb0="2000019F" w:csb1="00000000"/>
    <w:embedRegular r:id="rId7" w:fontKey="{2BCF7FEC-726C-43FF-B479-D4741475D5A5}"/>
  </w:font>
  <w:font w:name="楷体">
    <w:panose1 w:val="02010609060101010101"/>
    <w:charset w:val="86"/>
    <w:family w:val="auto"/>
    <w:pitch w:val="default"/>
    <w:sig w:usb0="800002BF" w:usb1="38CF7CFA" w:usb2="00000016" w:usb3="00000000" w:csb0="00040001" w:csb1="00000000"/>
    <w:embedRegular r:id="rId8" w:fontKey="{46FFF5FC-FC94-4222-A169-10759EFF38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C6B4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A251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EA8D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22AB04C7"/>
    <w:rsid w:val="2AF93942"/>
    <w:rsid w:val="5AE879F2"/>
    <w:rsid w:val="783F12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semiHidden/>
    <w:unhideWhenUsed/>
    <w:qFormat/>
    <w:uiPriority w:val="99"/>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2"/>
      <w:szCs w:val="22"/>
      <w:lang w:val="en-US" w:eastAsia="zh-CN" w:bidi="ar-SA"/>
    </w:r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2"/>
    <customShpInfo spid="_x0000_s1033"/>
    <customShpInfo spid="_x0000_s1036"/>
    <customShpInfo spid="_x0000_s1037"/>
    <customShpInfo spid="_x0000_s1038"/>
    <customShpInfo spid="_x0000_s1039"/>
    <customShpInfo spid="_x0000_s1040"/>
    <customShpInfo spid="_x0000_s1043"/>
    <customShpInfo spid="_x0000_s1044"/>
    <customShpInfo spid="_x0000_s1045"/>
    <customShpInfo spid="_x0000_s1048"/>
    <customShpInfo spid="_x0000_s1049"/>
    <customShpInfo spid="_x0000_s1050"/>
    <customShpInfo spid="_x0000_s1051"/>
    <customShpInfo spid="_x0000_s1052"/>
    <customShpInfo spid="_x0000_s1053"/>
    <customShpInfo spid="_x0000_s1054"/>
    <customShpInfo spid="_x0000_s1055"/>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16</Pages>
  <Words>5150</Words>
  <Characters>5418</Characters>
  <Lines>0</Lines>
  <Paragraphs>197</Paragraphs>
  <TotalTime>4</TotalTime>
  <ScaleCrop>false</ScaleCrop>
  <LinksUpToDate>false</LinksUpToDate>
  <CharactersWithSpaces>5676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2025-06-26T01:02:00Z</dcterms:created>
  <dc:creator>Administrator</dc:creator>
  <cp:lastModifiedBy>上帝掷骰子吗</cp:lastModifiedBy>
  <dcterms:modified xsi:type="dcterms:W3CDTF">2026-02-10T06:56:30Z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5DBA0AF307954BD4B8FCFB664B91C305_12</vt:lpwstr>
  </property>
</Properties>
</file>