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DD916E">
      <w:pPr>
        <w:spacing w:before="0" w:after="0" w:line="325" w:lineRule="exact"/>
        <w:ind w:left="1443" w:right="0" w:firstLine="0"/>
        <w:jc w:val="left"/>
        <w:rPr>
          <w:rFonts w:ascii="Times New Roman"/>
          <w:color w:val="000000"/>
          <w:spacing w:val="0"/>
          <w:sz w:val="32"/>
        </w:rPr>
      </w:pPr>
      <w:r>
        <w:pict>
          <v:shape id="_x00000" o:spid="_x0000_s1026"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 o:spid="_x0000_s1027"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 o:spid="_x0000_s1028"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rPr>
          <w:rFonts w:ascii="宋体"/>
          <w:color w:val="000000"/>
          <w:spacing w:val="9"/>
          <w:sz w:val="32"/>
        </w:rPr>
        <w:t>2026</w:t>
      </w:r>
      <w:r>
        <w:rPr>
          <w:rFonts w:ascii="Times New Roman"/>
          <w:color w:val="000000"/>
          <w:spacing w:val="0"/>
          <w:sz w:val="32"/>
        </w:rPr>
        <w:t xml:space="preserve"> </w:t>
      </w:r>
      <w:r>
        <w:rPr>
          <w:rFonts w:ascii="宋体" w:hAnsi="宋体" w:cs="宋体"/>
          <w:color w:val="000000"/>
          <w:spacing w:val="1"/>
          <w:sz w:val="32"/>
        </w:rPr>
        <w:t>年普通高中学业水平选择性考试（广东卷）</w:t>
      </w:r>
    </w:p>
    <w:p w14:paraId="0FBDA477">
      <w:pPr>
        <w:spacing w:before="299" w:after="0" w:line="325" w:lineRule="exact"/>
        <w:ind w:left="4234" w:right="0" w:firstLine="0"/>
        <w:jc w:val="left"/>
        <w:rPr>
          <w:rFonts w:ascii="Times New Roman"/>
          <w:color w:val="000000"/>
          <w:spacing w:val="0"/>
          <w:sz w:val="32"/>
        </w:rPr>
      </w:pPr>
      <w:r>
        <w:rPr>
          <w:rFonts w:ascii="宋体" w:hAnsi="宋体" w:cs="宋体"/>
          <w:color w:val="000000"/>
          <w:spacing w:val="0"/>
          <w:sz w:val="32"/>
        </w:rPr>
        <w:t>思想政治</w:t>
      </w:r>
    </w:p>
    <w:p w14:paraId="6876A1E3">
      <w:pPr>
        <w:spacing w:before="257" w:after="0" w:line="250" w:lineRule="exact"/>
        <w:ind w:left="2935" w:right="0" w:firstLine="0"/>
        <w:jc w:val="left"/>
        <w:rPr>
          <w:rFonts w:ascii="Times New Roman"/>
          <w:color w:val="000000"/>
          <w:spacing w:val="0"/>
          <w:sz w:val="24"/>
        </w:rPr>
      </w:pPr>
      <w:r>
        <w:rPr>
          <w:rFonts w:ascii="宋体" w:hAnsi="宋体" w:cs="宋体"/>
          <w:color w:val="000000"/>
          <w:spacing w:val="0"/>
          <w:sz w:val="24"/>
        </w:rPr>
        <w:t>本试卷满分</w:t>
      </w:r>
      <w:r>
        <w:rPr>
          <w:rFonts w:ascii="Times New Roman"/>
          <w:color w:val="000000"/>
          <w:spacing w:val="0"/>
          <w:sz w:val="24"/>
        </w:rPr>
        <w:t xml:space="preserve"> </w:t>
      </w:r>
      <w:r>
        <w:rPr>
          <w:rFonts w:ascii="宋体"/>
          <w:color w:val="000000"/>
          <w:spacing w:val="7"/>
          <w:sz w:val="24"/>
        </w:rPr>
        <w:t>100</w:t>
      </w:r>
      <w:r>
        <w:rPr>
          <w:rFonts w:ascii="Times New Roman"/>
          <w:color w:val="000000"/>
          <w:spacing w:val="0"/>
          <w:sz w:val="24"/>
        </w:rPr>
        <w:t xml:space="preserve"> </w:t>
      </w:r>
      <w:r>
        <w:rPr>
          <w:rFonts w:ascii="宋体" w:hAnsi="宋体" w:cs="宋体"/>
          <w:color w:val="000000"/>
          <w:spacing w:val="0"/>
          <w:sz w:val="24"/>
        </w:rPr>
        <w:t>分</w:t>
      </w:r>
      <w:r>
        <w:rPr>
          <w:rFonts w:ascii="Times New Roman"/>
          <w:color w:val="000000"/>
          <w:spacing w:val="61"/>
          <w:sz w:val="24"/>
        </w:rPr>
        <w:t xml:space="preserve"> </w:t>
      </w:r>
      <w:r>
        <w:rPr>
          <w:rFonts w:ascii="宋体" w:hAnsi="宋体" w:cs="宋体"/>
          <w:color w:val="000000"/>
          <w:spacing w:val="0"/>
          <w:sz w:val="24"/>
        </w:rPr>
        <w:t>考试用时</w:t>
      </w:r>
      <w:r>
        <w:rPr>
          <w:rFonts w:ascii="Times New Roman"/>
          <w:color w:val="000000"/>
          <w:spacing w:val="0"/>
          <w:sz w:val="24"/>
        </w:rPr>
        <w:t xml:space="preserve"> </w:t>
      </w:r>
      <w:r>
        <w:rPr>
          <w:rFonts w:ascii="宋体"/>
          <w:color w:val="000000"/>
          <w:spacing w:val="7"/>
          <w:sz w:val="24"/>
        </w:rPr>
        <w:t>75</w:t>
      </w:r>
      <w:r>
        <w:rPr>
          <w:rFonts w:ascii="Times New Roman"/>
          <w:color w:val="000000"/>
          <w:spacing w:val="0"/>
          <w:sz w:val="24"/>
        </w:rPr>
        <w:t xml:space="preserve"> </w:t>
      </w:r>
      <w:r>
        <w:rPr>
          <w:rFonts w:ascii="宋体" w:hAnsi="宋体" w:cs="宋体"/>
          <w:color w:val="000000"/>
          <w:spacing w:val="0"/>
          <w:sz w:val="24"/>
        </w:rPr>
        <w:t>分钟</w:t>
      </w:r>
    </w:p>
    <w:p w14:paraId="159E711C">
      <w:pPr>
        <w:spacing w:before="218" w:after="0" w:line="250" w:lineRule="exact"/>
        <w:ind w:left="0" w:right="0" w:firstLine="0"/>
        <w:jc w:val="left"/>
        <w:rPr>
          <w:rFonts w:ascii="Times New Roman"/>
          <w:color w:val="000000"/>
          <w:spacing w:val="0"/>
          <w:sz w:val="24"/>
        </w:rPr>
      </w:pPr>
      <w:r>
        <w:rPr>
          <w:rFonts w:ascii="宋体" w:hAnsi="宋体" w:cs="宋体"/>
          <w:color w:val="000000"/>
          <w:spacing w:val="2"/>
          <w:sz w:val="24"/>
        </w:rPr>
        <w:t>一、选择题：本大题共</w:t>
      </w:r>
      <w:r>
        <w:rPr>
          <w:rFonts w:ascii="Times New Roman"/>
          <w:color w:val="000000"/>
          <w:spacing w:val="-1"/>
          <w:sz w:val="24"/>
        </w:rPr>
        <w:t xml:space="preserve"> </w:t>
      </w:r>
      <w:r>
        <w:rPr>
          <w:rFonts w:ascii="宋体"/>
          <w:color w:val="000000"/>
          <w:spacing w:val="7"/>
          <w:sz w:val="24"/>
        </w:rPr>
        <w:t>16</w:t>
      </w:r>
      <w:r>
        <w:rPr>
          <w:rFonts w:ascii="Times New Roman"/>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宋体"/>
          <w:color w:val="000000"/>
          <w:spacing w:val="0"/>
          <w:sz w:val="24"/>
        </w:rPr>
        <w:t>3</w:t>
      </w:r>
      <w:r>
        <w:rPr>
          <w:rFonts w:ascii="Times New Roman"/>
          <w:color w:val="000000"/>
          <w:spacing w:val="7"/>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宋体"/>
          <w:color w:val="000000"/>
          <w:spacing w:val="7"/>
          <w:sz w:val="24"/>
        </w:rPr>
        <w:t>48</w:t>
      </w:r>
      <w:r>
        <w:rPr>
          <w:rFonts w:ascii="Times New Roman"/>
          <w:color w:val="000000"/>
          <w:spacing w:val="0"/>
          <w:sz w:val="24"/>
        </w:rPr>
        <w:t xml:space="preserve"> </w:t>
      </w:r>
      <w:r>
        <w:rPr>
          <w:rFonts w:ascii="宋体" w:hAnsi="宋体" w:cs="宋体"/>
          <w:color w:val="000000"/>
          <w:spacing w:val="1"/>
          <w:sz w:val="24"/>
        </w:rPr>
        <w:t>分。在每小题列出的四个选项中，只有</w:t>
      </w:r>
    </w:p>
    <w:p w14:paraId="48089249">
      <w:pPr>
        <w:spacing w:before="218" w:after="0" w:line="250" w:lineRule="exact"/>
        <w:ind w:left="0" w:right="0" w:firstLine="0"/>
        <w:jc w:val="left"/>
        <w:rPr>
          <w:rFonts w:ascii="Times New Roman"/>
          <w:color w:val="000000"/>
          <w:spacing w:val="0"/>
          <w:sz w:val="24"/>
        </w:rPr>
      </w:pPr>
      <w:r>
        <w:rPr>
          <w:rFonts w:ascii="宋体" w:hAnsi="宋体" w:cs="宋体"/>
          <w:color w:val="000000"/>
          <w:spacing w:val="0"/>
          <w:sz w:val="24"/>
        </w:rPr>
        <w:t>一项符合题目要求。</w:t>
      </w:r>
    </w:p>
    <w:p w14:paraId="7313D129">
      <w:pPr>
        <w:spacing w:before="222"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基于唯物史观的世界历史理论是马克思恩格斯考察近代中国社会发展的重要依据。中国共产党坚持马克</w:t>
      </w:r>
    </w:p>
    <w:p w14:paraId="0019F87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思主义基本原理，坚持实事求是，从中国实际出发，洞察时代大势，把握历史主动，进行艰辛探索，不断</w:t>
      </w:r>
    </w:p>
    <w:p w14:paraId="16A1897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推进马克思主义中国化时代化，指导中国人民不断推进伟大社会革命。据此，下列判断正确的是（</w:t>
      </w:r>
      <w:r>
        <w:rPr>
          <w:rFonts w:ascii="Times New Roman"/>
          <w:color w:val="000000"/>
          <w:spacing w:val="263"/>
          <w:sz w:val="21"/>
        </w:rPr>
        <w:t xml:space="preserve"> </w:t>
      </w:r>
      <w:r>
        <w:rPr>
          <w:rFonts w:ascii="宋体" w:hAnsi="宋体" w:cs="宋体"/>
          <w:color w:val="000000"/>
          <w:spacing w:val="0"/>
          <w:sz w:val="21"/>
        </w:rPr>
        <w:t>）</w:t>
      </w:r>
    </w:p>
    <w:p w14:paraId="4D4D131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①马克思主义中国化时代化是马克思恩格斯基于世界历史理论的原创思想</w:t>
      </w:r>
    </w:p>
    <w:p w14:paraId="11C2F02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②邓小平关于“走自己的道路”的宣言是马克思主义中国化时代化的生动演绎</w:t>
      </w:r>
    </w:p>
    <w:p w14:paraId="61D5FC9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③马克思恩格斯在考察近代中国社会发展中实现了社会主义从空想到科学的发展</w:t>
      </w:r>
    </w:p>
    <w:p w14:paraId="4425498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④习近平关于坚持“两个结合”的重要论断是新时代党的理论守正创新的重大成果</w:t>
      </w:r>
    </w:p>
    <w:p w14:paraId="4628A4E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1D1A015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3"/>
          <w:sz w:val="21"/>
        </w:rPr>
        <w:t>党的二十大以来，“宜居宜业和美乡村”建设成就斐然：农村电网平均供电可靠率达到</w:t>
      </w:r>
      <w:r>
        <w:rPr>
          <w:rFonts w:ascii="Times New Roman"/>
          <w:color w:val="000000"/>
          <w:spacing w:val="1"/>
          <w:sz w:val="21"/>
        </w:rPr>
        <w:t xml:space="preserve"> </w:t>
      </w:r>
      <w:r>
        <w:rPr>
          <w:rFonts w:ascii="宋体" w:hAnsi="宋体" w:cs="宋体"/>
          <w:color w:val="000000"/>
          <w:spacing w:val="-1"/>
          <w:sz w:val="21"/>
        </w:rPr>
        <w:t>99.9%，建设农村</w:t>
      </w:r>
    </w:p>
    <w:p w14:paraId="7A7EB79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互助性养老服务设施超</w:t>
      </w:r>
      <w:r>
        <w:rPr>
          <w:rFonts w:ascii="Times New Roman"/>
          <w:color w:val="000000"/>
          <w:spacing w:val="-3"/>
          <w:sz w:val="21"/>
        </w:rPr>
        <w:t xml:space="preserve"> </w:t>
      </w:r>
      <w:r>
        <w:rPr>
          <w:rFonts w:ascii="宋体"/>
          <w:color w:val="000000"/>
          <w:spacing w:val="0"/>
          <w:sz w:val="21"/>
        </w:rPr>
        <w:t>14</w:t>
      </w:r>
      <w:r>
        <w:rPr>
          <w:rFonts w:ascii="Times New Roman"/>
          <w:color w:val="000000"/>
          <w:spacing w:val="-3"/>
          <w:sz w:val="21"/>
        </w:rPr>
        <w:t xml:space="preserve"> </w:t>
      </w:r>
      <w:r>
        <w:rPr>
          <w:rFonts w:ascii="宋体" w:hAnsi="宋体" w:cs="宋体"/>
          <w:color w:val="000000"/>
          <w:spacing w:val="-3"/>
          <w:sz w:val="21"/>
        </w:rPr>
        <w:t>万个，95%以上的村卫生室被纳入医保，“村超”“村晚”等“村字号”文体活动</w:t>
      </w:r>
    </w:p>
    <w:p w14:paraId="660C830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异彩纷呈。这表明（</w:t>
      </w:r>
      <w:r>
        <w:rPr>
          <w:rFonts w:ascii="Times New Roman"/>
          <w:color w:val="000000"/>
          <w:spacing w:val="263"/>
          <w:sz w:val="21"/>
        </w:rPr>
        <w:t xml:space="preserve"> </w:t>
      </w:r>
      <w:r>
        <w:rPr>
          <w:rFonts w:ascii="宋体" w:hAnsi="宋体" w:cs="宋体"/>
          <w:color w:val="000000"/>
          <w:spacing w:val="0"/>
          <w:sz w:val="21"/>
        </w:rPr>
        <w:t>）</w:t>
      </w:r>
    </w:p>
    <w:p w14:paraId="61CFCC5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①新时代党和国家工作重心已从城市转向农村</w:t>
      </w:r>
    </w:p>
    <w:p w14:paraId="08DBB35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②农业农村现代化建设既要“见物”更要“见人”</w:t>
      </w:r>
    </w:p>
    <w:p w14:paraId="4624532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③坚持物质富足与精神富有并重是农业农村现代化的重要特征</w:t>
      </w:r>
    </w:p>
    <w:p w14:paraId="197AF97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④农业农村现代化建设是分两步走全面建成社会主义现代化强国的第一步</w:t>
      </w:r>
    </w:p>
    <w:p w14:paraId="08D411E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4F5B61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面对荒漠化威胁，一代代治沙人依靠政策引领、科技赋能、产业助力，在与风沙“死磕”中奔向“治沙</w:t>
      </w:r>
    </w:p>
    <w:p w14:paraId="5CDF0334">
      <w:pPr>
        <w:spacing w:before="237" w:after="0" w:line="220" w:lineRule="exact"/>
        <w:ind w:left="0" w:right="0" w:firstLine="0"/>
        <w:jc w:val="left"/>
        <w:rPr>
          <w:rFonts w:ascii="Times New Roman"/>
          <w:color w:val="000000"/>
          <w:spacing w:val="0"/>
          <w:sz w:val="21"/>
        </w:rPr>
      </w:pPr>
      <w:r>
        <w:rPr>
          <w:rFonts w:ascii="宋体" w:hAnsi="宋体" w:cs="宋体"/>
          <w:color w:val="000000"/>
          <w:spacing w:val="-4"/>
          <w:sz w:val="21"/>
        </w:rPr>
        <w:t>又致富”之路。“十四五”时期，我国完成国土绿化面积</w:t>
      </w:r>
      <w:r>
        <w:rPr>
          <w:rFonts w:ascii="Times New Roman"/>
          <w:color w:val="000000"/>
          <w:spacing w:val="3"/>
          <w:sz w:val="21"/>
        </w:rPr>
        <w:t xml:space="preserve"> </w:t>
      </w:r>
      <w:r>
        <w:rPr>
          <w:rFonts w:ascii="宋体"/>
          <w:color w:val="000000"/>
          <w:spacing w:val="0"/>
          <w:sz w:val="21"/>
        </w:rPr>
        <w:t>5.49</w:t>
      </w:r>
      <w:r>
        <w:rPr>
          <w:rFonts w:ascii="Times New Roman"/>
          <w:color w:val="000000"/>
          <w:spacing w:val="-1"/>
          <w:sz w:val="21"/>
        </w:rPr>
        <w:t xml:space="preserve"> </w:t>
      </w:r>
      <w:r>
        <w:rPr>
          <w:rFonts w:ascii="宋体" w:hAnsi="宋体" w:cs="宋体"/>
          <w:color w:val="000000"/>
          <w:spacing w:val="0"/>
          <w:sz w:val="21"/>
        </w:rPr>
        <w:t>亿亩，治理沙化土地</w:t>
      </w:r>
      <w:r>
        <w:rPr>
          <w:rFonts w:ascii="Times New Roman"/>
          <w:color w:val="000000"/>
          <w:spacing w:val="-1"/>
          <w:sz w:val="21"/>
        </w:rPr>
        <w:t xml:space="preserve"> </w:t>
      </w:r>
      <w:r>
        <w:rPr>
          <w:rFonts w:ascii="宋体"/>
          <w:color w:val="000000"/>
          <w:spacing w:val="0"/>
          <w:sz w:val="21"/>
        </w:rPr>
        <w:t>1.52</w:t>
      </w:r>
      <w:r>
        <w:rPr>
          <w:rFonts w:ascii="Times New Roman"/>
          <w:color w:val="000000"/>
          <w:spacing w:val="-1"/>
          <w:sz w:val="21"/>
        </w:rPr>
        <w:t xml:space="preserve"> </w:t>
      </w:r>
      <w:r>
        <w:rPr>
          <w:rFonts w:ascii="宋体" w:hAnsi="宋体" w:cs="宋体"/>
          <w:color w:val="000000"/>
          <w:spacing w:val="-1"/>
          <w:sz w:val="21"/>
        </w:rPr>
        <w:t>亿亩，成为全球增</w:t>
      </w:r>
    </w:p>
    <w:p w14:paraId="595F427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绿最多最快的国家，率先实现了土地退化零增长目标。由此可见（</w:t>
      </w:r>
      <w:r>
        <w:rPr>
          <w:rFonts w:ascii="Times New Roman"/>
          <w:color w:val="000000"/>
          <w:spacing w:val="263"/>
          <w:sz w:val="21"/>
        </w:rPr>
        <w:t xml:space="preserve"> </w:t>
      </w:r>
      <w:r>
        <w:rPr>
          <w:rFonts w:ascii="宋体" w:hAnsi="宋体" w:cs="宋体"/>
          <w:color w:val="000000"/>
          <w:spacing w:val="0"/>
          <w:sz w:val="21"/>
        </w:rPr>
        <w:t>）</w:t>
      </w:r>
    </w:p>
    <w:p w14:paraId="653CC08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①生态文明建设在“五位一体”总体布局中居于首要位置</w:t>
      </w:r>
    </w:p>
    <w:p w14:paraId="0BD2AB2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②实现伟大梦想，必须全面开展、深入推进荒漠治理新的伟大工程</w:t>
      </w:r>
    </w:p>
    <w:p w14:paraId="155B8F0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③荒漠化治理推动了“人沙对抗”向“人与自然和谐共生”的转变</w:t>
      </w:r>
    </w:p>
    <w:p w14:paraId="78E3D67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④新时代是奋斗者的时代，每一个人都是新时代的见证者、开创者、建设者</w:t>
      </w:r>
    </w:p>
    <w:p w14:paraId="6584A5E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607C0B1">
      <w:pPr>
        <w:spacing w:before="26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29712F77">
      <w:pPr>
        <w:spacing w:before="0" w:after="0" w:line="0" w:lineRule="exact"/>
        <w:ind w:left="0" w:right="0" w:firstLine="0"/>
        <w:jc w:val="left"/>
        <w:rPr>
          <w:rFonts w:ascii="Arial"/>
          <w:color w:val="FF0000"/>
          <w:spacing w:val="0"/>
          <w:sz w:val="2"/>
        </w:rPr>
      </w:pPr>
    </w:p>
    <w:p w14:paraId="0869F400">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CC13014">
      <w:pPr>
        <w:sectPr>
          <w:headerReference r:id="rId6" w:type="first"/>
          <w:footerReference r:id="rId9" w:type="first"/>
          <w:headerReference r:id="rId4" w:type="default"/>
          <w:footerReference r:id="rId7" w:type="default"/>
          <w:headerReference r:id="rId5" w:type="even"/>
          <w:footerReference r:id="rId8" w:type="even"/>
          <w:pgSz w:w="11900" w:h="16840"/>
          <w:pgMar w:top="1479" w:right="100" w:bottom="0" w:left="1080" w:header="720" w:footer="720" w:gutter="0"/>
          <w:pgNumType w:start="1"/>
          <w:cols w:space="720" w:num="1"/>
          <w:docGrid w:linePitch="1" w:charSpace="0"/>
        </w:sectPr>
      </w:pPr>
    </w:p>
    <w:p w14:paraId="11AAC44A">
      <w:pPr>
        <w:spacing w:before="0" w:after="0" w:line="0" w:lineRule="exact"/>
        <w:ind w:left="0" w:right="0" w:firstLine="0"/>
        <w:jc w:val="left"/>
        <w:rPr>
          <w:rFonts w:ascii="Arial"/>
          <w:color w:val="FF0000"/>
          <w:spacing w:val="0"/>
          <w:sz w:val="2"/>
        </w:rPr>
      </w:pPr>
    </w:p>
    <w:p w14:paraId="0D97A490">
      <w:pPr>
        <w:spacing w:before="0" w:after="0" w:line="243" w:lineRule="exact"/>
        <w:ind w:left="0" w:right="0" w:firstLine="0"/>
        <w:jc w:val="left"/>
        <w:rPr>
          <w:rFonts w:ascii="Times New Roman"/>
          <w:color w:val="000000"/>
          <w:spacing w:val="0"/>
          <w:sz w:val="21"/>
        </w:rPr>
      </w:pPr>
      <w:r>
        <w:pict>
          <v:shape id="_x00003" o:spid="_x0000_s1029"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4" o:spid="_x0000_s1030"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5" o:spid="_x0000_s1031"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6" o:spid="_x0000_s1032" o:spt="75" type="#_x0000_t75" style="position:absolute;left:0pt;margin-left:53pt;margin-top:89.05pt;height:141.6pt;width:203.85pt;mso-position-horizontal-relative:page;mso-position-vertical-relative:page;z-index:-251657216;mso-width-relative:page;mso-height-relative:page;" filled="f" coordsize="21600,21600">
            <v:path/>
            <v:fill on="f" focussize="0,0"/>
            <v:stroke/>
            <v:imagedata r:id="rId15" o:title=""/>
            <o:lock v:ext="edit" aspectratio="t"/>
          </v:shape>
        </w:pict>
      </w: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下图为</w:t>
      </w:r>
      <w:r>
        <w:rPr>
          <w:rFonts w:ascii="Times New Roman"/>
          <w:color w:val="000000"/>
          <w:spacing w:val="0"/>
          <w:sz w:val="21"/>
        </w:rPr>
        <w:t xml:space="preserve"> </w:t>
      </w:r>
      <w:r>
        <w:rPr>
          <w:rFonts w:ascii="宋体" w:hAnsi="宋体" w:cs="宋体"/>
          <w:color w:val="000000"/>
          <w:spacing w:val="0"/>
          <w:sz w:val="21"/>
        </w:rPr>
        <w:t>2022—2025</w:t>
      </w:r>
      <w:r>
        <w:rPr>
          <w:rFonts w:ascii="Times New Roman"/>
          <w:color w:val="000000"/>
          <w:spacing w:val="0"/>
          <w:sz w:val="21"/>
        </w:rPr>
        <w:t xml:space="preserve"> </w:t>
      </w:r>
      <w:r>
        <w:rPr>
          <w:rFonts w:ascii="宋体" w:hAnsi="宋体" w:cs="宋体"/>
          <w:color w:val="000000"/>
          <w:spacing w:val="0"/>
          <w:sz w:val="21"/>
        </w:rPr>
        <w:t>年与中国居民消费相关的两项指标变化情况。</w:t>
      </w:r>
    </w:p>
    <w:p w14:paraId="03D267D2">
      <w:pPr>
        <w:spacing w:before="3047" w:after="0" w:line="220" w:lineRule="exact"/>
        <w:ind w:left="0" w:right="0" w:firstLine="0"/>
        <w:jc w:val="left"/>
        <w:rPr>
          <w:rFonts w:ascii="Times New Roman"/>
          <w:color w:val="000000"/>
          <w:spacing w:val="0"/>
          <w:sz w:val="21"/>
        </w:rPr>
      </w:pPr>
      <w:r>
        <w:rPr>
          <w:rFonts w:ascii="宋体" w:hAnsi="宋体" w:cs="宋体"/>
          <w:color w:val="000000"/>
          <w:spacing w:val="0"/>
          <w:sz w:val="21"/>
        </w:rPr>
        <w:t>注：居民服务性消费支出指用于餐饮服务、衣着鞋类加工服务、医疗服务等生活服务的消费支出。</w:t>
      </w:r>
    </w:p>
    <w:p w14:paraId="001E2D8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数据来源：国家统计局</w:t>
      </w:r>
    </w:p>
    <w:p w14:paraId="24C0718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不考虑其他因素，促进图中指标变化的合理举措有（</w:t>
      </w:r>
      <w:r>
        <w:rPr>
          <w:rFonts w:ascii="Times New Roman"/>
          <w:color w:val="000000"/>
          <w:spacing w:val="263"/>
          <w:sz w:val="21"/>
        </w:rPr>
        <w:t xml:space="preserve"> </w:t>
      </w:r>
      <w:r>
        <w:rPr>
          <w:rFonts w:ascii="宋体" w:hAnsi="宋体" w:cs="宋体"/>
          <w:color w:val="000000"/>
          <w:spacing w:val="0"/>
          <w:sz w:val="21"/>
        </w:rPr>
        <w:t>）</w:t>
      </w:r>
    </w:p>
    <w:p w14:paraId="051380B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①大幅压缩公共服务支出</w:t>
      </w:r>
    </w:p>
    <w:p w14:paraId="7AD2D65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②实施乡村振兴战略，缩小城乡发展差距</w:t>
      </w:r>
    </w:p>
    <w:p w14:paraId="7EE4264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③运用政府定价引导居民消费</w:t>
      </w:r>
    </w:p>
    <w:p w14:paraId="55A2134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④扩大中等收入群体，拓宽农民增收渠道</w:t>
      </w:r>
    </w:p>
    <w:p w14:paraId="3AE7F61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108CE4F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5. </w:t>
      </w:r>
      <w:r>
        <w:rPr>
          <w:rFonts w:ascii="宋体"/>
          <w:color w:val="000000"/>
          <w:spacing w:val="0"/>
          <w:sz w:val="21"/>
        </w:rPr>
        <w:t>2026</w:t>
      </w:r>
      <w:r>
        <w:rPr>
          <w:rFonts w:ascii="Times New Roman"/>
          <w:color w:val="000000"/>
          <w:spacing w:val="0"/>
          <w:sz w:val="21"/>
        </w:rPr>
        <w:t xml:space="preserve"> </w:t>
      </w:r>
      <w:r>
        <w:rPr>
          <w:rFonts w:ascii="宋体" w:hAnsi="宋体" w:cs="宋体"/>
          <w:color w:val="000000"/>
          <w:spacing w:val="0"/>
          <w:sz w:val="21"/>
        </w:rPr>
        <w:t>年，财政部首次实施中小微企业贷款贴息政策；中国人民银行合并设立科技创新与民营企业债券风</w:t>
      </w:r>
    </w:p>
    <w:p w14:paraId="678636D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险分担工具，并设立额度为</w:t>
      </w:r>
      <w:r>
        <w:rPr>
          <w:rFonts w:ascii="Times New Roman"/>
          <w:color w:val="000000"/>
          <w:spacing w:val="0"/>
          <w:sz w:val="21"/>
        </w:rPr>
        <w:t xml:space="preserve"> </w:t>
      </w:r>
      <w:r>
        <w:rPr>
          <w:rFonts w:ascii="宋体"/>
          <w:color w:val="000000"/>
          <w:spacing w:val="0"/>
          <w:sz w:val="21"/>
        </w:rPr>
        <w:t>1</w:t>
      </w:r>
      <w:r>
        <w:rPr>
          <w:rFonts w:ascii="Times New Roman"/>
          <w:color w:val="000000"/>
          <w:spacing w:val="0"/>
          <w:sz w:val="21"/>
        </w:rPr>
        <w:t xml:space="preserve"> </w:t>
      </w:r>
      <w:r>
        <w:rPr>
          <w:rFonts w:ascii="宋体" w:hAnsi="宋体" w:cs="宋体"/>
          <w:color w:val="000000"/>
          <w:spacing w:val="0"/>
          <w:sz w:val="21"/>
        </w:rPr>
        <w:t>万亿元的民营企业再贷款。这一政策组合拳有利于（</w:t>
      </w:r>
      <w:r>
        <w:rPr>
          <w:rFonts w:ascii="Times New Roman"/>
          <w:color w:val="000000"/>
          <w:spacing w:val="263"/>
          <w:sz w:val="21"/>
        </w:rPr>
        <w:t xml:space="preserve"> </w:t>
      </w:r>
      <w:r>
        <w:rPr>
          <w:rFonts w:ascii="宋体" w:hAnsi="宋体" w:cs="宋体"/>
          <w:color w:val="000000"/>
          <w:spacing w:val="0"/>
          <w:sz w:val="21"/>
        </w:rPr>
        <w:t>）</w:t>
      </w:r>
    </w:p>
    <w:p w14:paraId="777F0B9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①降低民营企业的融资成本</w:t>
      </w:r>
    </w:p>
    <w:p w14:paraId="2C415B3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②保护民营企业产权和企业家权益</w:t>
      </w:r>
    </w:p>
    <w:p w14:paraId="21B9695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③引导金融机构加力支持民营企业高质量发展</w:t>
      </w:r>
    </w:p>
    <w:p w14:paraId="10DEB8B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④运用积极货币政策，强化民营经济主体地位</w:t>
      </w:r>
    </w:p>
    <w:p w14:paraId="5FBBAAC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5020B58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广东某市创新党建引领社区治理工作，构建“街道—社区—小区（网格）—楼栋”的四级组织架构，做</w:t>
      </w:r>
    </w:p>
    <w:p w14:paraId="2D05146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到“党组织建在小区、党员扎根楼栋”；推动社区党组织与辖区单位共建，高效务实为民办事，形成“组</w:t>
      </w:r>
    </w:p>
    <w:p w14:paraId="2E0EB31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织共建、资源共享、活动共联”的治理合力。这些举措（</w:t>
      </w:r>
      <w:r>
        <w:rPr>
          <w:rFonts w:ascii="Times New Roman"/>
          <w:color w:val="000000"/>
          <w:spacing w:val="263"/>
          <w:sz w:val="21"/>
        </w:rPr>
        <w:t xml:space="preserve"> </w:t>
      </w:r>
      <w:r>
        <w:rPr>
          <w:rFonts w:ascii="宋体" w:hAnsi="宋体" w:cs="宋体"/>
          <w:color w:val="000000"/>
          <w:spacing w:val="0"/>
          <w:sz w:val="21"/>
        </w:rPr>
        <w:t>）</w:t>
      </w:r>
    </w:p>
    <w:p w14:paraId="5E436AE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①深化了党的作风建设，有利于聚人心促发展</w:t>
      </w:r>
    </w:p>
    <w:p w14:paraId="05E4F59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②推动了党建资源下沉，有利于增强党的群众组织力</w:t>
      </w:r>
    </w:p>
    <w:p w14:paraId="4645955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③重组了党的组织结构，有利于更好发挥党的组织优势</w:t>
      </w:r>
    </w:p>
    <w:p w14:paraId="6F73E9D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④完善了党内监督制度，有利于筑牢社区治理的政治保证</w:t>
      </w:r>
    </w:p>
    <w:p w14:paraId="2F512BF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F7E169F">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17A51EDB">
      <w:pPr>
        <w:spacing w:before="0" w:after="0" w:line="0" w:lineRule="exact"/>
        <w:ind w:left="0" w:right="0" w:firstLine="0"/>
        <w:jc w:val="left"/>
        <w:rPr>
          <w:rFonts w:ascii="Arial"/>
          <w:color w:val="FF0000"/>
          <w:spacing w:val="0"/>
          <w:sz w:val="2"/>
        </w:rPr>
      </w:pPr>
    </w:p>
    <w:p w14:paraId="3AC7C8DB">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298EA16">
      <w:pPr>
        <w:spacing w:before="0" w:after="0" w:line="243" w:lineRule="exact"/>
        <w:ind w:left="0" w:right="0" w:firstLine="0"/>
        <w:jc w:val="left"/>
        <w:rPr>
          <w:rFonts w:ascii="Times New Roman"/>
          <w:color w:val="000000"/>
          <w:spacing w:val="0"/>
          <w:sz w:val="21"/>
        </w:rPr>
      </w:pPr>
      <w:r>
        <w:pict>
          <v:shape id="_x00007" o:spid="_x0000_s1033"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8" o:spid="_x0000_s1034"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9" o:spid="_x0000_s1035"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10" o:spid="_x0000_s1036" o:spt="75" type="#_x0000_t75" style="position:absolute;left:0pt;margin-left:53pt;margin-top:488.25pt;height:122.8pt;width:102.55pt;mso-position-horizontal-relative:page;mso-position-vertical-relative:page;z-index:-251657216;mso-width-relative:page;mso-height-relative:page;" filled="f" coordsize="21600,21600">
            <v:path/>
            <v:fill on="f" focussize="0,0"/>
            <v:stroke/>
            <v:imagedata r:id="rId16" o:title=""/>
            <o:lock v:ext="edit" aspectratio="t"/>
          </v:shape>
        </w:pict>
      </w: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广东某村一特色美食店爆红网络，食客纷至沓来，给店主和村民带来应接不暇、道路拥堵等“幸福的烦</w:t>
      </w:r>
    </w:p>
    <w:p w14:paraId="3282107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恼”。当地镇政府紧急部署修缮村道，村委会搭建临时停车场，餐饮协会组织人手支援该店，文旅部门因</w:t>
      </w:r>
    </w:p>
    <w:p w14:paraId="5142B27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势利导疏解客流，让流量从“一间店”流向“一座城”。在这场流量大考中（</w:t>
      </w:r>
      <w:r>
        <w:rPr>
          <w:rFonts w:ascii="Times New Roman"/>
          <w:color w:val="000000"/>
          <w:spacing w:val="263"/>
          <w:sz w:val="21"/>
        </w:rPr>
        <w:t xml:space="preserve"> </w:t>
      </w:r>
      <w:r>
        <w:rPr>
          <w:rFonts w:ascii="宋体" w:hAnsi="宋体" w:cs="宋体"/>
          <w:color w:val="000000"/>
          <w:spacing w:val="0"/>
          <w:sz w:val="21"/>
        </w:rPr>
        <w:t>）</w:t>
      </w:r>
    </w:p>
    <w:p w14:paraId="3AAD823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①村委会发挥了对农村基层工作的全面领导作用</w:t>
      </w:r>
    </w:p>
    <w:p w14:paraId="513236D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②多元主体力量协同推动了流量热度向发展实效转化</w:t>
      </w:r>
    </w:p>
    <w:p w14:paraId="40ED420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③行业协会发挥自身行政组织专业优势，运转高效协调有力</w:t>
      </w:r>
    </w:p>
    <w:p w14:paraId="16364AC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④镇政府践行了正确政绩观，及时解决了群众急难愁盼问题</w:t>
      </w:r>
    </w:p>
    <w:p w14:paraId="43FE915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1253AF5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4"/>
          <w:sz w:val="21"/>
        </w:rPr>
        <w:t>关涉书圣王羲之“写经换白鹅”的典故，有云：“（鹅）又喜转旋其项，故古之学书者，法以动腕。羲之</w:t>
      </w:r>
    </w:p>
    <w:p w14:paraId="34AD0491">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好鹅者以此，亦取其自然而有行列。”羲之观鹅，见其脖颈转动自然流畅，便把这份刚柔并济的“自然”融</w:t>
      </w:r>
    </w:p>
    <w:p w14:paraId="77E6ACD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入灵动飘逸的书写。清波红掌的自在雅趣，不卑不亢的淡然姿态，透视出传统文化的精神和风骨。对上述</w:t>
      </w:r>
    </w:p>
    <w:p w14:paraId="5E6BED9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材料，正确的哲学解读是（</w:t>
      </w:r>
      <w:r>
        <w:rPr>
          <w:rFonts w:ascii="Times New Roman"/>
          <w:color w:val="000000"/>
          <w:spacing w:val="263"/>
          <w:sz w:val="21"/>
        </w:rPr>
        <w:t xml:space="preserve"> </w:t>
      </w:r>
      <w:r>
        <w:rPr>
          <w:rFonts w:ascii="宋体" w:hAnsi="宋体" w:cs="宋体"/>
          <w:color w:val="000000"/>
          <w:spacing w:val="0"/>
          <w:sz w:val="21"/>
        </w:rPr>
        <w:t>）</w:t>
      </w:r>
    </w:p>
    <w:p w14:paraId="15CB91B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①文化里的精神和风骨必然包含着既对立又统一的两个方面</w:t>
      </w:r>
    </w:p>
    <w:p w14:paraId="1B131AF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②自然界的事物和人的思维之间的联系不属于事物固有的联系</w:t>
      </w:r>
    </w:p>
    <w:p w14:paraId="59FDF13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③主体对客体能动反映必然经过感性认识上升到理性认识的过程</w:t>
      </w:r>
    </w:p>
    <w:p w14:paraId="599C00C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④以人民群众创造的物质财富为基础，英雄人物创造了精神财富</w:t>
      </w:r>
    </w:p>
    <w:p w14:paraId="792D8F3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CF7971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下图漫画“头脑和胃有点相似，能被它消化的东西才有用”蕴含的哲理是（</w:t>
      </w:r>
      <w:r>
        <w:rPr>
          <w:rFonts w:ascii="Times New Roman"/>
          <w:color w:val="000000"/>
          <w:spacing w:val="263"/>
          <w:sz w:val="21"/>
        </w:rPr>
        <w:t xml:space="preserve"> </w:t>
      </w:r>
      <w:r>
        <w:rPr>
          <w:rFonts w:ascii="宋体" w:hAnsi="宋体" w:cs="宋体"/>
          <w:color w:val="000000"/>
          <w:spacing w:val="0"/>
          <w:sz w:val="21"/>
        </w:rPr>
        <w:t>）</w:t>
      </w:r>
    </w:p>
    <w:p w14:paraId="44E4BEE6">
      <w:pPr>
        <w:spacing w:before="2734" w:after="0" w:line="220" w:lineRule="exact"/>
        <w:ind w:left="0" w:right="0" w:firstLine="0"/>
        <w:jc w:val="left"/>
        <w:rPr>
          <w:rFonts w:ascii="Times New Roman"/>
          <w:color w:val="000000"/>
          <w:spacing w:val="0"/>
          <w:sz w:val="21"/>
        </w:rPr>
      </w:pPr>
      <w:r>
        <w:rPr>
          <w:rFonts w:ascii="宋体" w:hAnsi="宋体" w:cs="宋体"/>
          <w:color w:val="000000"/>
          <w:spacing w:val="0"/>
          <w:sz w:val="21"/>
        </w:rPr>
        <w:t>①对全部社会生活都应该“当做实践去理解”</w:t>
      </w:r>
    </w:p>
    <w:p w14:paraId="5134F2A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②哲学作为智慧之学的玄思，普通人难以企及</w:t>
      </w:r>
    </w:p>
    <w:p w14:paraId="0F7BE66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③不同主体对同一事物价值评价的差异应该消除</w:t>
      </w:r>
    </w:p>
    <w:p w14:paraId="1DC76EE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④辩证否定就是事物自己否定自己，自己发展自己</w:t>
      </w:r>
    </w:p>
    <w:p w14:paraId="5E942BC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59B8BF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2"/>
          <w:sz w:val="21"/>
        </w:rPr>
        <w:t>岭南画派秉承“折衷中西，融汇古今”的革新理念，在弘扬中国画笔墨精神的同时，大胆吸收西方写实</w:t>
      </w:r>
    </w:p>
    <w:p w14:paraId="4805191A">
      <w:pPr>
        <w:spacing w:before="4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57075027">
      <w:pPr>
        <w:spacing w:before="0" w:after="0" w:line="0" w:lineRule="exact"/>
        <w:ind w:left="0" w:right="0" w:firstLine="0"/>
        <w:jc w:val="left"/>
        <w:rPr>
          <w:rFonts w:ascii="Arial"/>
          <w:color w:val="FF0000"/>
          <w:spacing w:val="0"/>
          <w:sz w:val="2"/>
        </w:rPr>
      </w:pPr>
    </w:p>
    <w:p w14:paraId="109CA42B">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4EF168D">
      <w:pPr>
        <w:sectPr>
          <w:pgSz w:w="11900" w:h="16840"/>
          <w:pgMar w:top="1440" w:right="100" w:bottom="0" w:left="1080" w:header="720" w:footer="720" w:gutter="0"/>
          <w:pgNumType w:start="1"/>
          <w:cols w:space="720" w:num="1"/>
          <w:docGrid w:linePitch="1" w:charSpace="0"/>
        </w:sectPr>
      </w:pPr>
    </w:p>
    <w:p w14:paraId="59C3F2B7">
      <w:pPr>
        <w:spacing w:before="0" w:after="0" w:line="0" w:lineRule="exact"/>
        <w:ind w:left="0" w:right="0" w:firstLine="0"/>
        <w:jc w:val="left"/>
        <w:rPr>
          <w:rFonts w:ascii="Arial"/>
          <w:color w:val="FF0000"/>
          <w:spacing w:val="0"/>
          <w:sz w:val="2"/>
        </w:rPr>
      </w:pPr>
      <w:bookmarkStart w:id="0" w:name="_GoBack"/>
      <w:bookmarkEnd w:id="0"/>
    </w:p>
    <w:p w14:paraId="252293F5">
      <w:pPr>
        <w:spacing w:before="0" w:after="0" w:line="220" w:lineRule="exact"/>
        <w:ind w:left="0" w:right="0" w:firstLine="0"/>
        <w:jc w:val="left"/>
        <w:rPr>
          <w:rFonts w:ascii="Times New Roman"/>
          <w:color w:val="000000"/>
          <w:spacing w:val="0"/>
          <w:sz w:val="21"/>
        </w:rPr>
      </w:pPr>
      <w:r>
        <w:pict>
          <v:shape id="_x000011" o:spid="_x0000_s1037"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2" o:spid="_x0000_s1038"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3" o:spid="_x0000_s1039"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rPr>
          <w:rFonts w:ascii="宋体" w:hAnsi="宋体" w:cs="宋体"/>
          <w:color w:val="000000"/>
          <w:spacing w:val="0"/>
          <w:sz w:val="21"/>
        </w:rPr>
        <w:t>技法；倡导艺术关注现实生活，通过艺术革新服务社会变革。岭南画派赋予传统绘画新的生命力，成为理</w:t>
      </w:r>
    </w:p>
    <w:p w14:paraId="69FD93E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解中国近现代艺术转型重要的学术样本。上述材料表明（</w:t>
      </w:r>
      <w:r>
        <w:rPr>
          <w:rFonts w:ascii="Times New Roman"/>
          <w:color w:val="000000"/>
          <w:spacing w:val="263"/>
          <w:sz w:val="21"/>
        </w:rPr>
        <w:t xml:space="preserve"> </w:t>
      </w:r>
      <w:r>
        <w:rPr>
          <w:rFonts w:ascii="宋体" w:hAnsi="宋体" w:cs="宋体"/>
          <w:color w:val="000000"/>
          <w:spacing w:val="0"/>
          <w:sz w:val="21"/>
        </w:rPr>
        <w:t>）</w:t>
      </w:r>
    </w:p>
    <w:p w14:paraId="1E2E1AD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①中西文化交融推动了中国绘画艺术的发展</w:t>
      </w:r>
    </w:p>
    <w:p w14:paraId="2BDA9A8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②岭南画派的革新理念是中华民族精神的生动体现</w:t>
      </w:r>
    </w:p>
    <w:p w14:paraId="0401506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③对传统绘画内涵和表达形式进行改造就能服务社会</w:t>
      </w:r>
    </w:p>
    <w:p w14:paraId="22103B4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④中国艺术发展必须坚持胸怀天下，与西方艺术潮流同频共振</w:t>
      </w:r>
    </w:p>
    <w:p w14:paraId="6E060D2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60095181">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4"/>
          <w:sz w:val="21"/>
        </w:rPr>
        <w:t xml:space="preserve"> </w:t>
      </w:r>
      <w:r>
        <w:rPr>
          <w:rFonts w:ascii="宋体"/>
          <w:color w:val="000000"/>
          <w:spacing w:val="0"/>
          <w:sz w:val="21"/>
        </w:rPr>
        <w:t>2025</w:t>
      </w:r>
      <w:r>
        <w:rPr>
          <w:rFonts w:ascii="Times New Roman"/>
          <w:color w:val="000000"/>
          <w:spacing w:val="-3"/>
          <w:sz w:val="21"/>
        </w:rPr>
        <w:t xml:space="preserve"> </w:t>
      </w:r>
      <w:r>
        <w:rPr>
          <w:rFonts w:ascii="宋体" w:hAnsi="宋体" w:cs="宋体"/>
          <w:color w:val="000000"/>
          <w:spacing w:val="0"/>
          <w:sz w:val="21"/>
        </w:rPr>
        <w:t>年</w:t>
      </w:r>
      <w:r>
        <w:rPr>
          <w:rFonts w:ascii="Times New Roman"/>
          <w:color w:val="000000"/>
          <w:spacing w:val="-3"/>
          <w:sz w:val="21"/>
        </w:rPr>
        <w:t xml:space="preserve"> </w:t>
      </w:r>
      <w:r>
        <w:rPr>
          <w:rFonts w:ascii="宋体"/>
          <w:color w:val="000000"/>
          <w:spacing w:val="0"/>
          <w:sz w:val="21"/>
        </w:rPr>
        <w:t>9</w:t>
      </w:r>
      <w:r>
        <w:rPr>
          <w:rFonts w:ascii="Times New Roman"/>
          <w:color w:val="000000"/>
          <w:spacing w:val="-3"/>
          <w:sz w:val="21"/>
        </w:rPr>
        <w:t xml:space="preserve"> </w:t>
      </w:r>
      <w:r>
        <w:rPr>
          <w:rFonts w:ascii="宋体" w:hAnsi="宋体" w:cs="宋体"/>
          <w:color w:val="000000"/>
          <w:spacing w:val="-1"/>
          <w:sz w:val="21"/>
        </w:rPr>
        <w:t>月，欧洲某国议会通过对政府不信任案，罢免了政府总理。分析人士指出，总理被罢免暴露出</w:t>
      </w:r>
    </w:p>
    <w:p w14:paraId="20931A6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该国两大治理难题：一是高福利带来高债务，福利体系难以为继；二是政治力量之间缺乏妥协，执政党提</w:t>
      </w:r>
    </w:p>
    <w:p w14:paraId="1338256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出的改革方案频遭在野党和其他利益集团的阻挠。据此，以下结论正确的是（</w:t>
      </w:r>
      <w:r>
        <w:rPr>
          <w:rFonts w:ascii="Times New Roman"/>
          <w:color w:val="000000"/>
          <w:spacing w:val="263"/>
          <w:sz w:val="21"/>
        </w:rPr>
        <w:t xml:space="preserve"> </w:t>
      </w:r>
      <w:r>
        <w:rPr>
          <w:rFonts w:ascii="宋体" w:hAnsi="宋体" w:cs="宋体"/>
          <w:color w:val="000000"/>
          <w:spacing w:val="0"/>
          <w:sz w:val="21"/>
        </w:rPr>
        <w:t>）</w:t>
      </w:r>
    </w:p>
    <w:p w14:paraId="6DE2A58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①该国总理通过直接选举产生</w:t>
      </w:r>
    </w:p>
    <w:p w14:paraId="43F035A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②该国政体具有议会制的特征</w:t>
      </w:r>
    </w:p>
    <w:p w14:paraId="349D465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③该国政党与利益集团均以改变政权为目标</w:t>
      </w:r>
    </w:p>
    <w:p w14:paraId="2A678BA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④该国利益集团通过影响政府决策维护自身利益</w:t>
      </w:r>
    </w:p>
    <w:p w14:paraId="28EC32F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5780004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当前，地缘政治冲突引发全球供应链动荡。在此背景下，中国不仅保持了国内产业链的相对稳定，还成</w:t>
      </w:r>
    </w:p>
    <w:p w14:paraId="59B5A71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功吸引外国企业加大对华投资。某国际化工巨头依托中国稳定的绿电供应与配套产业，有效降低了生产成</w:t>
      </w:r>
    </w:p>
    <w:p w14:paraId="75790F5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本；某全球知名车企扩建在华基地并采用中国技术方案，缩短了电动汽车的研发周期。这反映出（</w:t>
      </w:r>
      <w:r>
        <w:rPr>
          <w:rFonts w:ascii="Times New Roman"/>
          <w:color w:val="000000"/>
          <w:spacing w:val="263"/>
          <w:sz w:val="21"/>
        </w:rPr>
        <w:t xml:space="preserve"> </w:t>
      </w:r>
      <w:r>
        <w:rPr>
          <w:rFonts w:ascii="宋体" w:hAnsi="宋体" w:cs="宋体"/>
          <w:color w:val="000000"/>
          <w:spacing w:val="0"/>
          <w:sz w:val="21"/>
        </w:rPr>
        <w:t>）</w:t>
      </w:r>
    </w:p>
    <w:p w14:paraId="1860F35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①中国完整的产业体系为跨国公司提供了配套支持</w:t>
      </w:r>
    </w:p>
    <w:p w14:paraId="7557AF8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②贸易保护主义驱动经济全球化向经济区域化转变</w:t>
      </w:r>
    </w:p>
    <w:p w14:paraId="2C0FB31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③规避地缘政治风险是跨国公司来华投资的首要目的</w:t>
      </w:r>
    </w:p>
    <w:p w14:paraId="054D83F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④中国新能源成本和技术优势对国际资本有巨大吸引力</w:t>
      </w:r>
    </w:p>
    <w:p w14:paraId="5AD407E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5A27B8A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2"/>
          <w:sz w:val="21"/>
        </w:rPr>
        <w:t>张某（男）、李某（女）夫妇书面约定：婚前张某父母赠与张某的婚房归夫妻共有，婚后所得财产归各</w:t>
      </w:r>
    </w:p>
    <w:p w14:paraId="1904FFE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自所有。婚姻关系存续期间，因个人经营需要，张某向钱某借款</w:t>
      </w:r>
      <w:r>
        <w:rPr>
          <w:rFonts w:ascii="Times New Roman"/>
          <w:color w:val="000000"/>
          <w:spacing w:val="-1"/>
          <w:sz w:val="21"/>
        </w:rPr>
        <w:t xml:space="preserve"> </w:t>
      </w:r>
      <w:r>
        <w:rPr>
          <w:rFonts w:ascii="宋体"/>
          <w:color w:val="000000"/>
          <w:spacing w:val="0"/>
          <w:sz w:val="21"/>
        </w:rPr>
        <w:t>20</w:t>
      </w:r>
      <w:r>
        <w:rPr>
          <w:rFonts w:ascii="Times New Roman"/>
          <w:color w:val="000000"/>
          <w:spacing w:val="-1"/>
          <w:sz w:val="21"/>
        </w:rPr>
        <w:t xml:space="preserve"> </w:t>
      </w:r>
      <w:r>
        <w:rPr>
          <w:rFonts w:ascii="宋体" w:hAnsi="宋体" w:cs="宋体"/>
          <w:color w:val="000000"/>
          <w:spacing w:val="0"/>
          <w:sz w:val="21"/>
        </w:rPr>
        <w:t>万元，钱某对张某夫妻婚后财产的约定</w:t>
      </w:r>
    </w:p>
    <w:p w14:paraId="1E0ADBB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不知情。后因张某不能按期还债，钱某与其发生争议，经人民调解委员会调解达成还债协议。关于本案，</w:t>
      </w:r>
    </w:p>
    <w:p w14:paraId="7E9E999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下列选项正确的是（</w:t>
      </w:r>
      <w:r>
        <w:rPr>
          <w:rFonts w:ascii="Times New Roman"/>
          <w:color w:val="000000"/>
          <w:spacing w:val="263"/>
          <w:sz w:val="21"/>
        </w:rPr>
        <w:t xml:space="preserve"> </w:t>
      </w:r>
      <w:r>
        <w:rPr>
          <w:rFonts w:ascii="宋体" w:hAnsi="宋体" w:cs="宋体"/>
          <w:color w:val="000000"/>
          <w:spacing w:val="0"/>
          <w:sz w:val="21"/>
        </w:rPr>
        <w:t>）</w:t>
      </w:r>
    </w:p>
    <w:p w14:paraId="3CE0554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①张某欠钱某的债务应由张某个人清偿</w:t>
      </w:r>
    </w:p>
    <w:p w14:paraId="3801E7A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②张某夫妇关于婚房的约定有效</w:t>
      </w:r>
    </w:p>
    <w:p w14:paraId="21181FC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③张某夫妇关于婚后所得财产的约定无效</w:t>
      </w:r>
    </w:p>
    <w:p w14:paraId="78BE6482">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599C1AB7">
      <w:pPr>
        <w:spacing w:before="0" w:after="0" w:line="0" w:lineRule="exact"/>
        <w:ind w:left="0" w:right="0" w:firstLine="0"/>
        <w:jc w:val="left"/>
        <w:rPr>
          <w:rFonts w:ascii="Arial"/>
          <w:color w:val="FF0000"/>
          <w:spacing w:val="0"/>
          <w:sz w:val="2"/>
        </w:rPr>
      </w:pPr>
    </w:p>
    <w:p w14:paraId="34D37A87">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447A231">
      <w:pPr>
        <w:spacing w:before="0" w:after="0" w:line="220" w:lineRule="exact"/>
        <w:ind w:left="0" w:right="0" w:firstLine="0"/>
        <w:jc w:val="left"/>
        <w:rPr>
          <w:rFonts w:ascii="Times New Roman"/>
          <w:color w:val="000000"/>
          <w:spacing w:val="0"/>
          <w:sz w:val="21"/>
        </w:rPr>
      </w:pPr>
      <w:r>
        <w:pict>
          <v:shape id="_x000014" o:spid="_x0000_s1040"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5" o:spid="_x0000_s1041"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6" o:spid="_x0000_s1042"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rPr>
          <w:rFonts w:ascii="宋体" w:hAnsi="宋体" w:cs="宋体"/>
          <w:color w:val="000000"/>
          <w:spacing w:val="0"/>
          <w:sz w:val="21"/>
        </w:rPr>
        <w:t>④张某应履行调解达成的还债协议</w:t>
      </w:r>
    </w:p>
    <w:p w14:paraId="6C4C199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6FA707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甲</w:t>
      </w:r>
      <w:r>
        <w:rPr>
          <w:rFonts w:ascii="Times New Roman"/>
          <w:color w:val="000000"/>
          <w:spacing w:val="0"/>
          <w:sz w:val="21"/>
        </w:rPr>
        <w:t xml:space="preserve"> </w:t>
      </w:r>
      <w:r>
        <w:rPr>
          <w:rFonts w:ascii="宋体"/>
          <w:color w:val="000000"/>
          <w:spacing w:val="0"/>
          <w:sz w:val="21"/>
        </w:rPr>
        <w:t>17</w:t>
      </w:r>
      <w:r>
        <w:rPr>
          <w:rFonts w:ascii="Times New Roman"/>
          <w:color w:val="000000"/>
          <w:spacing w:val="0"/>
          <w:sz w:val="21"/>
        </w:rPr>
        <w:t xml:space="preserve"> </w:t>
      </w:r>
      <w:r>
        <w:rPr>
          <w:rFonts w:ascii="宋体" w:hAnsi="宋体" w:cs="宋体"/>
          <w:color w:val="000000"/>
          <w:spacing w:val="0"/>
          <w:sz w:val="21"/>
        </w:rPr>
        <w:t>周岁，应聘到</w:t>
      </w:r>
      <w:r>
        <w:rPr>
          <w:rFonts w:ascii="Times New Roman"/>
          <w:color w:val="000000"/>
          <w:spacing w:val="0"/>
          <w:sz w:val="21"/>
        </w:rPr>
        <w:t xml:space="preserve"> </w:t>
      </w:r>
      <w:r>
        <w:rPr>
          <w:rFonts w:ascii="宋体"/>
          <w:color w:val="000000"/>
          <w:spacing w:val="0"/>
          <w:sz w:val="21"/>
        </w:rPr>
        <w:t>H</w:t>
      </w:r>
      <w:r>
        <w:rPr>
          <w:rFonts w:ascii="Times New Roman"/>
          <w:color w:val="000000"/>
          <w:spacing w:val="0"/>
          <w:sz w:val="21"/>
        </w:rPr>
        <w:t xml:space="preserve"> </w:t>
      </w:r>
      <w:r>
        <w:rPr>
          <w:rFonts w:ascii="宋体" w:hAnsi="宋体" w:cs="宋体"/>
          <w:color w:val="000000"/>
          <w:spacing w:val="0"/>
          <w:sz w:val="21"/>
        </w:rPr>
        <w:t>公司工作，双方签订了书面劳动合同。半年后，H</w:t>
      </w:r>
      <w:r>
        <w:rPr>
          <w:rFonts w:ascii="Times New Roman"/>
          <w:color w:val="000000"/>
          <w:spacing w:val="0"/>
          <w:sz w:val="21"/>
        </w:rPr>
        <w:t xml:space="preserve"> </w:t>
      </w:r>
      <w:r>
        <w:rPr>
          <w:rFonts w:ascii="宋体" w:hAnsi="宋体" w:cs="宋体"/>
          <w:color w:val="000000"/>
          <w:spacing w:val="0"/>
          <w:sz w:val="21"/>
        </w:rPr>
        <w:t>公司决定以所产的运动鞋折抵</w:t>
      </w:r>
    </w:p>
    <w:p w14:paraId="61139CE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一半的工资。甲不同意，双方就工资的支付发生争议。甲直接向法院起诉，法院不予受理，并告知其须先</w:t>
      </w:r>
    </w:p>
    <w:p w14:paraId="10995A4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进行劳动仲裁。关于本案，下列说法正确的是（</w:t>
      </w:r>
      <w:r>
        <w:rPr>
          <w:rFonts w:ascii="Times New Roman"/>
          <w:color w:val="000000"/>
          <w:spacing w:val="263"/>
          <w:sz w:val="21"/>
        </w:rPr>
        <w:t xml:space="preserve"> </w:t>
      </w:r>
      <w:r>
        <w:rPr>
          <w:rFonts w:ascii="宋体" w:hAnsi="宋体" w:cs="宋体"/>
          <w:color w:val="000000"/>
          <w:spacing w:val="0"/>
          <w:sz w:val="21"/>
        </w:rPr>
        <w:t>）</w:t>
      </w:r>
    </w:p>
    <w:p w14:paraId="4910768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①甲未成年，H</w:t>
      </w:r>
      <w:r>
        <w:rPr>
          <w:rFonts w:ascii="Times New Roman"/>
          <w:color w:val="000000"/>
          <w:spacing w:val="0"/>
          <w:sz w:val="21"/>
        </w:rPr>
        <w:t xml:space="preserve"> </w:t>
      </w:r>
      <w:r>
        <w:rPr>
          <w:rFonts w:ascii="宋体" w:hAnsi="宋体" w:cs="宋体"/>
          <w:color w:val="000000"/>
          <w:spacing w:val="0"/>
          <w:sz w:val="21"/>
        </w:rPr>
        <w:t>公司不应录用</w:t>
      </w:r>
    </w:p>
    <w:p w14:paraId="3E35F75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②法院的做法不符合法律规定</w:t>
      </w:r>
    </w:p>
    <w:p w14:paraId="56AE30E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③甲的工资应以货币形式支付</w:t>
      </w:r>
    </w:p>
    <w:p w14:paraId="0AB5CE0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④若甲经济困难，可以申请法律援助</w:t>
      </w:r>
    </w:p>
    <w:p w14:paraId="2B3141A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5AC6AFC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2"/>
          <w:sz w:val="21"/>
        </w:rPr>
        <w:t>某省在筹办城市篮球联赛中，组委会就球员参赛资格确立以下原则：除非具备当地户籍或学籍，否则不</w:t>
      </w:r>
    </w:p>
    <w:p w14:paraId="562BEE0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具备参赛资格；现役或退役职业运动员不具备参赛资格。已知上述原则得到严格遵循，并且比赛顺利进行。</w:t>
      </w:r>
    </w:p>
    <w:p w14:paraId="56F6B5B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据此，下列判断必然为真的是（</w:t>
      </w:r>
      <w:r>
        <w:rPr>
          <w:rFonts w:ascii="Times New Roman"/>
          <w:color w:val="000000"/>
          <w:spacing w:val="263"/>
          <w:sz w:val="21"/>
        </w:rPr>
        <w:t xml:space="preserve"> </w:t>
      </w:r>
      <w:r>
        <w:rPr>
          <w:rFonts w:ascii="宋体" w:hAnsi="宋体" w:cs="宋体"/>
          <w:color w:val="000000"/>
          <w:spacing w:val="0"/>
          <w:sz w:val="21"/>
        </w:rPr>
        <w:t>）</w:t>
      </w:r>
    </w:p>
    <w:p w14:paraId="446F63E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①所有具备当地户籍或学籍的人都具备参赛资格</w:t>
      </w:r>
    </w:p>
    <w:p w14:paraId="493AC2D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②有的现役或退役职业运动员具备当地户籍或学籍</w:t>
      </w:r>
    </w:p>
    <w:p w14:paraId="5E884FB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③并非所有具备当地户籍或学籍的人都不具备参赛资格</w:t>
      </w:r>
    </w:p>
    <w:p w14:paraId="75A04CE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④有的具备当地户籍或学籍的人不是现役或退役职业运动员</w:t>
      </w:r>
    </w:p>
    <w:p w14:paraId="7BBB032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7703D39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2"/>
          <w:sz w:val="21"/>
        </w:rPr>
        <w:t>夏至日正午，北回归线上会出现“立竿无影”的现象。古人将此现象作为制定历法的依据，现代天文学</w:t>
      </w:r>
    </w:p>
    <w:p w14:paraId="50B0E9E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则进一步揭示其科学本质：太阳直射点经过当地，正午时太阳位于正头顶，导致垂直竖立的物体在地面无</w:t>
      </w:r>
    </w:p>
    <w:p w14:paraId="611421EF">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影或影极短。甲据此推断：“因为太阳直射点在南北回归线之间移动，所以只有位于这些地区，才可能出现</w:t>
      </w:r>
    </w:p>
    <w:p w14:paraId="5479E720">
      <w:pPr>
        <w:spacing w:before="248" w:after="0" w:line="220" w:lineRule="exact"/>
        <w:ind w:left="0" w:right="0" w:firstLine="0"/>
        <w:jc w:val="left"/>
        <w:rPr>
          <w:rFonts w:ascii="Times New Roman"/>
          <w:color w:val="000000"/>
          <w:spacing w:val="0"/>
          <w:sz w:val="21"/>
        </w:rPr>
      </w:pPr>
      <w:r>
        <w:rPr>
          <w:rFonts w:ascii="宋体" w:hAnsi="宋体" w:cs="宋体"/>
          <w:color w:val="000000"/>
          <w:spacing w:val="-8"/>
          <w:sz w:val="21"/>
        </w:rPr>
        <w:t>这一现象。”以上材料表明（</w:t>
      </w:r>
      <w:r>
        <w:rPr>
          <w:rFonts w:ascii="Times New Roman"/>
          <w:color w:val="000000"/>
          <w:spacing w:val="271"/>
          <w:sz w:val="21"/>
        </w:rPr>
        <w:t xml:space="preserve"> </w:t>
      </w:r>
      <w:r>
        <w:rPr>
          <w:rFonts w:ascii="宋体" w:hAnsi="宋体" w:cs="宋体"/>
          <w:color w:val="000000"/>
          <w:spacing w:val="0"/>
          <w:sz w:val="21"/>
        </w:rPr>
        <w:t>）</w:t>
      </w:r>
    </w:p>
    <w:p w14:paraId="1163BC0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①甲运用联想和想象来反映认识对象</w:t>
      </w:r>
    </w:p>
    <w:p w14:paraId="65861D5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②在认识过程中，不应作简单的肯定或者否定</w:t>
      </w:r>
    </w:p>
    <w:p w14:paraId="7329158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③思维能透过事物的现象揭示事物的本质和规律</w:t>
      </w:r>
    </w:p>
    <w:p w14:paraId="5862943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④甲使用归纳推理来探寻认识对象和有关现象之间的因果联系</w:t>
      </w:r>
    </w:p>
    <w:p w14:paraId="05FC4BE3">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31FE1F7A">
      <w:pPr>
        <w:spacing w:before="222" w:after="0" w:line="250" w:lineRule="exact"/>
        <w:ind w:left="0" w:right="0" w:firstLine="0"/>
        <w:jc w:val="left"/>
        <w:rPr>
          <w:rFonts w:ascii="Times New Roman"/>
          <w:color w:val="000000"/>
          <w:spacing w:val="0"/>
          <w:sz w:val="24"/>
        </w:rPr>
      </w:pPr>
      <w:r>
        <w:rPr>
          <w:rFonts w:ascii="宋体" w:hAnsi="宋体" w:cs="宋体"/>
          <w:color w:val="000000"/>
          <w:spacing w:val="2"/>
          <w:sz w:val="24"/>
        </w:rPr>
        <w:t>二、非选择题：本大题共</w:t>
      </w:r>
      <w:r>
        <w:rPr>
          <w:rFonts w:ascii="Times New Roman"/>
          <w:color w:val="000000"/>
          <w:spacing w:val="-1"/>
          <w:sz w:val="24"/>
        </w:rPr>
        <w:t xml:space="preserve"> </w:t>
      </w:r>
      <w:r>
        <w:rPr>
          <w:rFonts w:ascii="宋体"/>
          <w:color w:val="000000"/>
          <w:spacing w:val="0"/>
          <w:sz w:val="24"/>
        </w:rPr>
        <w:t>4</w:t>
      </w:r>
      <w:r>
        <w:rPr>
          <w:rFonts w:ascii="Times New Roman"/>
          <w:color w:val="000000"/>
          <w:spacing w:val="7"/>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宋体"/>
          <w:color w:val="000000"/>
          <w:spacing w:val="7"/>
          <w:sz w:val="24"/>
        </w:rPr>
        <w:t>52</w:t>
      </w:r>
      <w:r>
        <w:rPr>
          <w:rFonts w:ascii="Times New Roman"/>
          <w:color w:val="000000"/>
          <w:spacing w:val="0"/>
          <w:sz w:val="24"/>
        </w:rPr>
        <w:t xml:space="preserve"> </w:t>
      </w:r>
      <w:r>
        <w:rPr>
          <w:rFonts w:ascii="宋体" w:hAnsi="宋体" w:cs="宋体"/>
          <w:color w:val="000000"/>
          <w:spacing w:val="1"/>
          <w:sz w:val="24"/>
        </w:rPr>
        <w:t>分。考生根据要求作答。</w:t>
      </w:r>
    </w:p>
    <w:p w14:paraId="5FCAF3FA">
      <w:pPr>
        <w:spacing w:before="222"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阅读材料，完成下列要求</w:t>
      </w:r>
    </w:p>
    <w:p w14:paraId="09EC0AC8">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近年来，在数字经济迅猛发展进程中，经济领域出现了“内卷式”竞争现象。一些平台企业滥用算法、</w:t>
      </w:r>
    </w:p>
    <w:p w14:paraId="0D712EB5">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18B839EA">
      <w:pPr>
        <w:spacing w:before="0" w:after="0" w:line="0" w:lineRule="exact"/>
        <w:ind w:left="0" w:right="0" w:firstLine="0"/>
        <w:jc w:val="left"/>
        <w:rPr>
          <w:rFonts w:ascii="Arial"/>
          <w:color w:val="FF0000"/>
          <w:spacing w:val="0"/>
          <w:sz w:val="2"/>
        </w:rPr>
      </w:pPr>
    </w:p>
    <w:p w14:paraId="15E2ADAB">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509530A">
      <w:pPr>
        <w:spacing w:before="0" w:after="0" w:line="220" w:lineRule="exact"/>
        <w:ind w:left="0" w:right="0" w:firstLine="0"/>
        <w:jc w:val="left"/>
        <w:rPr>
          <w:rFonts w:ascii="Times New Roman"/>
          <w:color w:val="000000"/>
          <w:spacing w:val="0"/>
          <w:sz w:val="21"/>
        </w:rPr>
      </w:pPr>
      <w:r>
        <w:pict>
          <v:shape id="_x000017" o:spid="_x0000_s1043"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8" o:spid="_x0000_s1044"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9" o:spid="_x0000_s1045"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rPr>
          <w:rFonts w:ascii="楷体" w:hAnsi="楷体" w:cs="楷体"/>
          <w:color w:val="000000"/>
          <w:spacing w:val="0"/>
          <w:sz w:val="21"/>
        </w:rPr>
        <w:t>技术、规则等持续压低价格，并进行“无序补贴”；还有些网商通过刷单虚增流量，进行虚假宣传，销售</w:t>
      </w:r>
    </w:p>
    <w:p w14:paraId="641E63F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伪劣产品；更有一些行业陷入激烈的价格战，同质化竞争严重，市场出现“增量不增质”的问题。个别地</w:t>
      </w:r>
    </w:p>
    <w:p w14:paraId="4AB7174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方出台超优惠政策扶持本地企业，也对市场秩序造成了一定冲击。</w:t>
      </w:r>
    </w:p>
    <w:p w14:paraId="7695CCF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中央经济工作会议明确将“深入整治‘内卷式’竞争”作为</w:t>
      </w:r>
      <w:r>
        <w:rPr>
          <w:rFonts w:ascii="Times New Roman"/>
          <w:color w:val="000000"/>
          <w:spacing w:val="0"/>
          <w:sz w:val="21"/>
        </w:rPr>
        <w:t xml:space="preserve"> </w:t>
      </w:r>
      <w:r>
        <w:rPr>
          <w:rFonts w:ascii="宋体"/>
          <w:color w:val="000000"/>
          <w:spacing w:val="0"/>
          <w:sz w:val="21"/>
        </w:rPr>
        <w:t>2026</w:t>
      </w:r>
      <w:r>
        <w:rPr>
          <w:rFonts w:ascii="Times New Roman"/>
          <w:color w:val="000000"/>
          <w:spacing w:val="0"/>
          <w:sz w:val="21"/>
        </w:rPr>
        <w:t xml:space="preserve"> </w:t>
      </w:r>
      <w:r>
        <w:rPr>
          <w:rFonts w:ascii="宋体" w:hAnsi="宋体" w:cs="宋体"/>
          <w:color w:val="000000"/>
          <w:spacing w:val="0"/>
          <w:sz w:val="21"/>
        </w:rPr>
        <w:t>年改革攻坚的重点任务之一。结合材料，</w:t>
      </w:r>
    </w:p>
    <w:p w14:paraId="1AECFFB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运用《经济与社会》知识，从市场、企业、政府三重视角，提出破解“内卷式”竞争难题的对策。</w:t>
      </w:r>
    </w:p>
    <w:p w14:paraId="6BCB908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阅读材料，完成下列要求。</w:t>
      </w:r>
    </w:p>
    <w:p w14:paraId="689EEBF3">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材料一</w:t>
      </w:r>
      <w:r>
        <w:rPr>
          <w:rFonts w:ascii="Times New Roman"/>
          <w:color w:val="000000"/>
          <w:spacing w:val="158"/>
          <w:sz w:val="21"/>
        </w:rPr>
        <w:t xml:space="preserve"> </w:t>
      </w:r>
      <w:r>
        <w:rPr>
          <w:rFonts w:ascii="楷体" w:hAnsi="楷体" w:cs="楷体"/>
          <w:color w:val="000000"/>
          <w:spacing w:val="0"/>
          <w:sz w:val="21"/>
        </w:rPr>
        <w:t>商业航天是推动航天产业发展、建设航天强国的重要力量。2025</w:t>
      </w:r>
      <w:r>
        <w:rPr>
          <w:rFonts w:ascii="Times New Roman"/>
          <w:color w:val="000000"/>
          <w:spacing w:val="0"/>
          <w:sz w:val="21"/>
        </w:rPr>
        <w:t xml:space="preserve"> </w:t>
      </w:r>
      <w:r>
        <w:rPr>
          <w:rFonts w:ascii="楷体" w:hAnsi="楷体" w:cs="楷体"/>
          <w:color w:val="000000"/>
          <w:spacing w:val="0"/>
          <w:sz w:val="21"/>
        </w:rPr>
        <w:t>年，党的二十届四中全会提</w:t>
      </w:r>
    </w:p>
    <w:p w14:paraId="056E45C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出加快建设航天强国，商业航天地位凸显。此后，国家航天局设立“商业航天司”这一专职机构，并印发</w:t>
      </w:r>
    </w:p>
    <w:p w14:paraId="4262FB5B">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《国家航天局推进商业航天高质量安全发展行动计划（2025—2027</w:t>
      </w:r>
      <w:r>
        <w:rPr>
          <w:rFonts w:ascii="Times New Roman"/>
          <w:color w:val="000000"/>
          <w:spacing w:val="0"/>
          <w:sz w:val="21"/>
        </w:rPr>
        <w:t xml:space="preserve"> </w:t>
      </w:r>
      <w:r>
        <w:rPr>
          <w:rFonts w:ascii="楷体" w:hAnsi="楷体" w:cs="楷体"/>
          <w:color w:val="000000"/>
          <w:spacing w:val="-12"/>
          <w:sz w:val="21"/>
        </w:rPr>
        <w:t>年）》，提出健全政策法规体系、强化安</w:t>
      </w:r>
    </w:p>
    <w:p w14:paraId="76652FE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全监督管理等总体要求。2026</w:t>
      </w:r>
      <w:r>
        <w:rPr>
          <w:rFonts w:ascii="Times New Roman"/>
          <w:color w:val="000000"/>
          <w:spacing w:val="0"/>
          <w:sz w:val="21"/>
        </w:rPr>
        <w:t xml:space="preserve"> </w:t>
      </w:r>
      <w:r>
        <w:rPr>
          <w:rFonts w:ascii="楷体" w:hAnsi="楷体" w:cs="楷体"/>
          <w:color w:val="000000"/>
          <w:spacing w:val="0"/>
          <w:sz w:val="21"/>
        </w:rPr>
        <w:t>年，十四届全国人大四次会议表决通过的“十五五”规划纲要，将航空航天</w:t>
      </w:r>
    </w:p>
    <w:p w14:paraId="3DD28FD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列为战略性新兴产业，商业航天迎来发展新契机。一些省市相继出台相关政策措施，推动地方布局商业航</w:t>
      </w:r>
    </w:p>
    <w:p w14:paraId="5947EB1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天新赛道。</w:t>
      </w:r>
    </w:p>
    <w:p w14:paraId="3E055658">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材料二</w:t>
      </w:r>
      <w:r>
        <w:rPr>
          <w:rFonts w:ascii="Times New Roman"/>
          <w:color w:val="000000"/>
          <w:spacing w:val="158"/>
          <w:sz w:val="21"/>
        </w:rPr>
        <w:t xml:space="preserve"> </w:t>
      </w:r>
      <w:r>
        <w:rPr>
          <w:rFonts w:ascii="楷体" w:hAnsi="楷体" w:cs="楷体"/>
          <w:color w:val="000000"/>
          <w:spacing w:val="0"/>
          <w:sz w:val="21"/>
        </w:rPr>
        <w:t>外层空间是人类的共同疆域，空间探索是人类的共同事业。中国关于全球治理倡议的核心理</w:t>
      </w:r>
    </w:p>
    <w:p w14:paraId="3919193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念与外空治理具有重要关联。针对个别国家将商业卫星运营军事化并用于干涉他国内政的霸权行为，中国</w:t>
      </w:r>
    </w:p>
    <w:p w14:paraId="54626DF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呼吁相关国家切实履行联合国《外空条约》义务，支持联合国发挥主平台作用。截至</w:t>
      </w:r>
      <w:r>
        <w:rPr>
          <w:rFonts w:ascii="Times New Roman"/>
          <w:color w:val="000000"/>
          <w:spacing w:val="0"/>
          <w:sz w:val="21"/>
        </w:rPr>
        <w:t xml:space="preserve"> </w:t>
      </w:r>
      <w:r>
        <w:rPr>
          <w:rFonts w:ascii="楷体"/>
          <w:color w:val="000000"/>
          <w:spacing w:val="0"/>
          <w:sz w:val="21"/>
        </w:rPr>
        <w:t>2025</w:t>
      </w:r>
      <w:r>
        <w:rPr>
          <w:rFonts w:ascii="Times New Roman"/>
          <w:color w:val="000000"/>
          <w:spacing w:val="-1"/>
          <w:sz w:val="21"/>
        </w:rPr>
        <w:t xml:space="preserve"> </w:t>
      </w:r>
      <w:r>
        <w:rPr>
          <w:rFonts w:ascii="楷体" w:hAnsi="楷体" w:cs="楷体"/>
          <w:color w:val="000000"/>
          <w:spacing w:val="0"/>
          <w:sz w:val="21"/>
        </w:rPr>
        <w:t>年</w:t>
      </w:r>
      <w:r>
        <w:rPr>
          <w:rFonts w:ascii="Times New Roman"/>
          <w:color w:val="000000"/>
          <w:spacing w:val="-1"/>
          <w:sz w:val="21"/>
        </w:rPr>
        <w:t xml:space="preserve"> </w:t>
      </w:r>
      <w:r>
        <w:rPr>
          <w:rFonts w:ascii="楷体"/>
          <w:color w:val="000000"/>
          <w:spacing w:val="0"/>
          <w:sz w:val="21"/>
        </w:rPr>
        <w:t>6</w:t>
      </w:r>
      <w:r>
        <w:rPr>
          <w:rFonts w:ascii="Times New Roman"/>
          <w:color w:val="000000"/>
          <w:spacing w:val="-1"/>
          <w:sz w:val="21"/>
        </w:rPr>
        <w:t xml:space="preserve"> </w:t>
      </w:r>
      <w:r>
        <w:rPr>
          <w:rFonts w:ascii="楷体" w:hAnsi="楷体" w:cs="楷体"/>
          <w:color w:val="000000"/>
          <w:spacing w:val="-1"/>
          <w:sz w:val="21"/>
        </w:rPr>
        <w:t>月，中国已</w:t>
      </w:r>
    </w:p>
    <w:p w14:paraId="2DF909F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与</w:t>
      </w:r>
      <w:r>
        <w:rPr>
          <w:rFonts w:ascii="Times New Roman"/>
          <w:color w:val="000000"/>
          <w:spacing w:val="0"/>
          <w:sz w:val="21"/>
        </w:rPr>
        <w:t xml:space="preserve"> </w:t>
      </w:r>
      <w:r>
        <w:rPr>
          <w:rFonts w:ascii="楷体"/>
          <w:color w:val="000000"/>
          <w:spacing w:val="0"/>
          <w:sz w:val="21"/>
        </w:rPr>
        <w:t>50</w:t>
      </w:r>
      <w:r>
        <w:rPr>
          <w:rFonts w:ascii="Times New Roman"/>
          <w:color w:val="000000"/>
          <w:spacing w:val="0"/>
          <w:sz w:val="21"/>
        </w:rPr>
        <w:t xml:space="preserve"> </w:t>
      </w:r>
      <w:r>
        <w:rPr>
          <w:rFonts w:ascii="楷体" w:hAnsi="楷体" w:cs="楷体"/>
          <w:color w:val="000000"/>
          <w:spacing w:val="0"/>
          <w:sz w:val="21"/>
        </w:rPr>
        <w:t>多个国家和国际组织签署近</w:t>
      </w:r>
      <w:r>
        <w:rPr>
          <w:rFonts w:ascii="Times New Roman"/>
          <w:color w:val="000000"/>
          <w:spacing w:val="0"/>
          <w:sz w:val="21"/>
        </w:rPr>
        <w:t xml:space="preserve"> </w:t>
      </w:r>
      <w:r>
        <w:rPr>
          <w:rFonts w:ascii="楷体"/>
          <w:color w:val="000000"/>
          <w:spacing w:val="0"/>
          <w:sz w:val="21"/>
        </w:rPr>
        <w:t>200</w:t>
      </w:r>
      <w:r>
        <w:rPr>
          <w:rFonts w:ascii="Times New Roman"/>
          <w:color w:val="000000"/>
          <w:spacing w:val="0"/>
          <w:sz w:val="21"/>
        </w:rPr>
        <w:t xml:space="preserve"> </w:t>
      </w:r>
      <w:r>
        <w:rPr>
          <w:rFonts w:ascii="楷体" w:hAnsi="楷体" w:cs="楷体"/>
          <w:color w:val="000000"/>
          <w:spacing w:val="-3"/>
          <w:sz w:val="21"/>
        </w:rPr>
        <w:t>份航天合作协议。此外，中国牵头发起金砖国家遥感卫星星座、“一</w:t>
      </w:r>
    </w:p>
    <w:p w14:paraId="34E77AA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带一路”空间信息走廊等项目，持续实施亚太空间合作组织多任务小卫星项目，并批准多个国家的高校和</w:t>
      </w:r>
    </w:p>
    <w:p w14:paraId="0869E36B">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科研机构借用嫦娥五号带回的月壤样品，助力人类空间探索。</w:t>
      </w:r>
    </w:p>
    <w:p w14:paraId="27DFE62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）结合材料一，运用《政治与法治》知识，分析我国是如何促进商业航天发展的。</w:t>
      </w:r>
    </w:p>
    <w:p w14:paraId="0D58774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）结合材料二，运用《当代国际政治与经济》知识，阐明中国在外空治理中的大国担当。</w:t>
      </w:r>
    </w:p>
    <w:p w14:paraId="7E9517D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阅读材料，完成下列要求。</w:t>
      </w:r>
    </w:p>
    <w:p w14:paraId="2829E615">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创新是一个国家和社会发展进步的源泉。抓创新就是抓发展，谋创新就是谋未来。</w:t>
      </w:r>
    </w:p>
    <w:p w14:paraId="1D634239">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材料一</w:t>
      </w:r>
      <w:r>
        <w:rPr>
          <w:rFonts w:ascii="Times New Roman"/>
          <w:color w:val="000000"/>
          <w:spacing w:val="158"/>
          <w:sz w:val="21"/>
        </w:rPr>
        <w:t xml:space="preserve"> </w:t>
      </w:r>
      <w:r>
        <w:rPr>
          <w:rFonts w:ascii="楷体"/>
          <w:color w:val="000000"/>
          <w:spacing w:val="0"/>
          <w:sz w:val="21"/>
        </w:rPr>
        <w:t>2026</w:t>
      </w:r>
      <w:r>
        <w:rPr>
          <w:rFonts w:ascii="Times New Roman"/>
          <w:color w:val="000000"/>
          <w:spacing w:val="0"/>
          <w:sz w:val="21"/>
        </w:rPr>
        <w:t xml:space="preserve"> </w:t>
      </w:r>
      <w:r>
        <w:rPr>
          <w:rFonts w:ascii="楷体" w:hAnsi="楷体" w:cs="楷体"/>
          <w:color w:val="000000"/>
          <w:spacing w:val="0"/>
          <w:sz w:val="21"/>
        </w:rPr>
        <w:t>年国务院《政府工作报告》首次将“未来能源”列入未来产业培育名单并置于首位，寻</w:t>
      </w:r>
    </w:p>
    <w:p w14:paraId="684F02A9">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找未来能源成为科技攻关的重大课题。当前，“未来能源”正由概念转化为现实成果：以“人造太阳”、绿</w:t>
      </w:r>
    </w:p>
    <w:p w14:paraId="180B6E1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色氢能为代表的新能源，采用颠覆性技术打破传统能源局限，构建清洁、安全的能源新生态。在新能源取</w:t>
      </w:r>
    </w:p>
    <w:p w14:paraId="2E2E8A3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代化石能源的第三次能源转型中，未来能源的战略擘画，聚焦于破解我国“富煤缺油少气”的资源制约、</w:t>
      </w:r>
    </w:p>
    <w:p w14:paraId="7C2DA40E">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化石能源枯竭等难题，成为筑牢能源安全防线的“先手棋”，更是实现深度脱碳、走好绿色转型之路的“长</w:t>
      </w:r>
    </w:p>
    <w:p w14:paraId="2DAA781B">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远棋”。</w:t>
      </w:r>
    </w:p>
    <w:p w14:paraId="630156AD">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材料二</w:t>
      </w:r>
      <w:r>
        <w:rPr>
          <w:rFonts w:ascii="Times New Roman"/>
          <w:color w:val="000000"/>
          <w:spacing w:val="158"/>
          <w:sz w:val="21"/>
        </w:rPr>
        <w:t xml:space="preserve"> </w:t>
      </w:r>
      <w:r>
        <w:rPr>
          <w:rFonts w:ascii="楷体" w:hAnsi="楷体" w:cs="楷体"/>
          <w:color w:val="000000"/>
          <w:spacing w:val="-8"/>
          <w:sz w:val="21"/>
        </w:rPr>
        <w:t>“手搓”按摩仪、“手搓”机械椅、“手搓”仿生机器人……一股“手搓”风潮正悄然兴起。个</w:t>
      </w:r>
    </w:p>
    <w:p w14:paraId="50C9C5C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人或小型团队无需大额资金、专业生产线，借助</w:t>
      </w:r>
      <w:r>
        <w:rPr>
          <w:rFonts w:ascii="Times New Roman"/>
          <w:color w:val="000000"/>
          <w:spacing w:val="0"/>
          <w:sz w:val="21"/>
        </w:rPr>
        <w:t xml:space="preserve"> </w:t>
      </w:r>
      <w:r>
        <w:rPr>
          <w:rFonts w:ascii="楷体" w:hAnsi="楷体" w:cs="楷体"/>
          <w:color w:val="000000"/>
          <w:spacing w:val="0"/>
          <w:sz w:val="21"/>
        </w:rPr>
        <w:t>AI、低代码开发平台等工具，就可以快速将创意转化为产</w:t>
      </w:r>
    </w:p>
    <w:p w14:paraId="0AAB0D4C">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643B69B9">
      <w:pPr>
        <w:spacing w:before="0" w:after="0" w:line="0" w:lineRule="exact"/>
        <w:ind w:left="0" w:right="0" w:firstLine="0"/>
        <w:jc w:val="left"/>
        <w:rPr>
          <w:rFonts w:ascii="Arial"/>
          <w:color w:val="FF0000"/>
          <w:spacing w:val="0"/>
          <w:sz w:val="2"/>
        </w:rPr>
      </w:pPr>
    </w:p>
    <w:p w14:paraId="17436F5A">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CE07617">
      <w:pPr>
        <w:spacing w:before="0" w:after="0" w:line="220" w:lineRule="exact"/>
        <w:ind w:left="0" w:right="0" w:firstLine="0"/>
        <w:jc w:val="left"/>
        <w:rPr>
          <w:rFonts w:ascii="Times New Roman"/>
          <w:color w:val="000000"/>
          <w:spacing w:val="0"/>
          <w:sz w:val="21"/>
        </w:rPr>
      </w:pPr>
      <w:r>
        <w:pict>
          <v:shape id="_x000020" o:spid="_x0000_s1046"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21" o:spid="_x0000_s1047"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2" o:spid="_x0000_s1048"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rPr>
          <w:rFonts w:ascii="楷体" w:hAnsi="楷体" w:cs="楷体"/>
          <w:color w:val="000000"/>
          <w:spacing w:val="-3"/>
          <w:sz w:val="21"/>
        </w:rPr>
        <w:t>品或服务。在以年轻人为代表的新经济群体中，“手搓”已延伸为一种创业文化，追求创新成为一种生活方</w:t>
      </w:r>
    </w:p>
    <w:p w14:paraId="25A48BB8">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式和价值导向。在追求卓越的传统“工匠精神”与当代科技应用的深度融合中，“手搓”经济方兴未艾，其</w:t>
      </w:r>
    </w:p>
    <w:p w14:paraId="61B9054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所折射出的创新文化，成为全社会创新活力迸发的时代注脚。</w:t>
      </w:r>
    </w:p>
    <w:p w14:paraId="0879821D">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）结合材料一，就寻找“未来能源”这一重要战略擘画，阐述正确发挥主观能动性原理。</w:t>
      </w:r>
    </w:p>
    <w:p w14:paraId="4ED9DBD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）结合材料一，运用超前思维的知识，分析我国推动未来能源发展布局的意义。</w:t>
      </w:r>
    </w:p>
    <w:p w14:paraId="4F474F5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）结合材料二，运用文化的相关知识，说明“手搓”经济折射出的创新文化何以成为全社会创新活力迸</w:t>
      </w:r>
    </w:p>
    <w:p w14:paraId="1F0C923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发的时代注脚。</w:t>
      </w:r>
    </w:p>
    <w:p w14:paraId="1EA4173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0"/>
          <w:sz w:val="21"/>
        </w:rPr>
        <w:t>阅读材料，完成下列要求。</w:t>
      </w:r>
    </w:p>
    <w:p w14:paraId="766F0894">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在某市出台支持创业带动就业若干政策后，甲、乙共同出资设立××有限责任公司（下称</w:t>
      </w:r>
      <w:r>
        <w:rPr>
          <w:rFonts w:ascii="Times New Roman"/>
          <w:color w:val="000000"/>
          <w:spacing w:val="-1"/>
          <w:sz w:val="21"/>
        </w:rPr>
        <w:t xml:space="preserve"> </w:t>
      </w:r>
      <w:r>
        <w:rPr>
          <w:rFonts w:ascii="楷体"/>
          <w:color w:val="000000"/>
          <w:spacing w:val="0"/>
          <w:sz w:val="21"/>
        </w:rPr>
        <w:t>A</w:t>
      </w:r>
      <w:r>
        <w:rPr>
          <w:rFonts w:ascii="Times New Roman"/>
          <w:color w:val="000000"/>
          <w:spacing w:val="-1"/>
          <w:sz w:val="21"/>
        </w:rPr>
        <w:t xml:space="preserve"> </w:t>
      </w:r>
      <w:r>
        <w:rPr>
          <w:rFonts w:ascii="楷体" w:hAnsi="楷体" w:cs="楷体"/>
          <w:color w:val="000000"/>
          <w:spacing w:val="-22"/>
          <w:sz w:val="21"/>
        </w:rPr>
        <w:t>公司），注</w:t>
      </w:r>
    </w:p>
    <w:p w14:paraId="60CBFDE1">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册资本</w:t>
      </w:r>
      <w:r>
        <w:rPr>
          <w:rFonts w:ascii="Times New Roman"/>
          <w:color w:val="000000"/>
          <w:spacing w:val="-3"/>
          <w:sz w:val="21"/>
        </w:rPr>
        <w:t xml:space="preserve"> </w:t>
      </w:r>
      <w:r>
        <w:rPr>
          <w:rFonts w:ascii="楷体"/>
          <w:color w:val="000000"/>
          <w:spacing w:val="0"/>
          <w:sz w:val="21"/>
        </w:rPr>
        <w:t>200</w:t>
      </w:r>
      <w:r>
        <w:rPr>
          <w:rFonts w:ascii="Times New Roman"/>
          <w:color w:val="000000"/>
          <w:spacing w:val="-3"/>
          <w:sz w:val="21"/>
        </w:rPr>
        <w:t xml:space="preserve"> </w:t>
      </w:r>
      <w:r>
        <w:rPr>
          <w:rFonts w:ascii="楷体" w:hAnsi="楷体" w:cs="楷体"/>
          <w:color w:val="000000"/>
          <w:spacing w:val="-2"/>
          <w:sz w:val="21"/>
        </w:rPr>
        <w:t>万元，甲、乙分别认缴</w:t>
      </w:r>
      <w:r>
        <w:rPr>
          <w:rFonts w:ascii="Times New Roman"/>
          <w:color w:val="000000"/>
          <w:spacing w:val="0"/>
          <w:sz w:val="21"/>
        </w:rPr>
        <w:t xml:space="preserve"> </w:t>
      </w:r>
      <w:r>
        <w:rPr>
          <w:rFonts w:ascii="楷体"/>
          <w:color w:val="000000"/>
          <w:spacing w:val="0"/>
          <w:sz w:val="21"/>
        </w:rPr>
        <w:t>120</w:t>
      </w:r>
      <w:r>
        <w:rPr>
          <w:rFonts w:ascii="Times New Roman"/>
          <w:color w:val="000000"/>
          <w:spacing w:val="-3"/>
          <w:sz w:val="21"/>
        </w:rPr>
        <w:t xml:space="preserve"> </w:t>
      </w:r>
      <w:r>
        <w:rPr>
          <w:rFonts w:ascii="楷体" w:hAnsi="楷体" w:cs="楷体"/>
          <w:color w:val="000000"/>
          <w:spacing w:val="-3"/>
          <w:sz w:val="21"/>
        </w:rPr>
        <w:t>万元、80</w:t>
      </w:r>
      <w:r>
        <w:rPr>
          <w:rFonts w:ascii="Times New Roman"/>
          <w:color w:val="000000"/>
          <w:spacing w:val="0"/>
          <w:sz w:val="21"/>
        </w:rPr>
        <w:t xml:space="preserve"> </w:t>
      </w:r>
      <w:r>
        <w:rPr>
          <w:rFonts w:ascii="楷体" w:hAnsi="楷体" w:cs="楷体"/>
          <w:color w:val="000000"/>
          <w:spacing w:val="0"/>
          <w:sz w:val="21"/>
        </w:rPr>
        <w:t>万元，公司设立时各股东实际缴付认缴出资额的</w:t>
      </w:r>
      <w:r>
        <w:rPr>
          <w:rFonts w:ascii="Times New Roman"/>
          <w:color w:val="000000"/>
          <w:spacing w:val="-2"/>
          <w:sz w:val="21"/>
        </w:rPr>
        <w:t xml:space="preserve"> </w:t>
      </w:r>
      <w:r>
        <w:rPr>
          <w:rFonts w:ascii="楷体" w:hAnsi="楷体" w:cs="楷体"/>
          <w:color w:val="000000"/>
          <w:spacing w:val="-3"/>
          <w:sz w:val="21"/>
        </w:rPr>
        <w:t>40%。A</w:t>
      </w:r>
      <w:r>
        <w:rPr>
          <w:rFonts w:ascii="Times New Roman"/>
          <w:color w:val="000000"/>
          <w:spacing w:val="0"/>
          <w:sz w:val="21"/>
        </w:rPr>
        <w:t xml:space="preserve"> </w:t>
      </w:r>
      <w:r>
        <w:rPr>
          <w:rFonts w:ascii="楷体" w:hAnsi="楷体" w:cs="楷体"/>
          <w:color w:val="000000"/>
          <w:spacing w:val="0"/>
          <w:sz w:val="21"/>
        </w:rPr>
        <w:t>公</w:t>
      </w:r>
    </w:p>
    <w:p w14:paraId="64CCE00E">
      <w:pPr>
        <w:spacing w:before="248" w:after="0" w:line="220" w:lineRule="exact"/>
        <w:ind w:left="0" w:right="0" w:firstLine="0"/>
        <w:jc w:val="left"/>
        <w:rPr>
          <w:rFonts w:ascii="Times New Roman"/>
          <w:color w:val="000000"/>
          <w:spacing w:val="0"/>
          <w:sz w:val="21"/>
        </w:rPr>
      </w:pPr>
      <w:r>
        <w:rPr>
          <w:rFonts w:ascii="楷体" w:hAnsi="楷体" w:cs="楷体"/>
          <w:color w:val="000000"/>
          <w:spacing w:val="-1"/>
          <w:sz w:val="21"/>
        </w:rPr>
        <w:t>司成立后，与</w:t>
      </w:r>
      <w:r>
        <w:rPr>
          <w:rFonts w:ascii="Times New Roman"/>
          <w:color w:val="000000"/>
          <w:spacing w:val="0"/>
          <w:sz w:val="21"/>
        </w:rPr>
        <w:t xml:space="preserve"> </w:t>
      </w:r>
      <w:r>
        <w:rPr>
          <w:rFonts w:ascii="楷体"/>
          <w:color w:val="000000"/>
          <w:spacing w:val="0"/>
          <w:sz w:val="21"/>
        </w:rPr>
        <w:t>B</w:t>
      </w:r>
      <w:r>
        <w:rPr>
          <w:rFonts w:ascii="Times New Roman"/>
          <w:color w:val="000000"/>
          <w:spacing w:val="-1"/>
          <w:sz w:val="21"/>
        </w:rPr>
        <w:t xml:space="preserve"> </w:t>
      </w:r>
      <w:r>
        <w:rPr>
          <w:rFonts w:ascii="楷体" w:hAnsi="楷体" w:cs="楷体"/>
          <w:color w:val="000000"/>
          <w:spacing w:val="0"/>
          <w:sz w:val="21"/>
        </w:rPr>
        <w:t>公司签订了金额为</w:t>
      </w:r>
      <w:r>
        <w:rPr>
          <w:rFonts w:ascii="Times New Roman"/>
          <w:color w:val="000000"/>
          <w:spacing w:val="-1"/>
          <w:sz w:val="21"/>
        </w:rPr>
        <w:t xml:space="preserve"> </w:t>
      </w:r>
      <w:r>
        <w:rPr>
          <w:rFonts w:ascii="楷体"/>
          <w:color w:val="000000"/>
          <w:spacing w:val="0"/>
          <w:sz w:val="21"/>
        </w:rPr>
        <w:t>50</w:t>
      </w:r>
      <w:r>
        <w:rPr>
          <w:rFonts w:ascii="Times New Roman"/>
          <w:color w:val="000000"/>
          <w:spacing w:val="-1"/>
          <w:sz w:val="21"/>
        </w:rPr>
        <w:t xml:space="preserve"> </w:t>
      </w:r>
      <w:r>
        <w:rPr>
          <w:rFonts w:ascii="楷体" w:hAnsi="楷体" w:cs="楷体"/>
          <w:color w:val="000000"/>
          <w:spacing w:val="0"/>
          <w:sz w:val="21"/>
        </w:rPr>
        <w:t>万元的合同，合同中约定了交货时间、违约金等条款。后因产能限制，</w:t>
      </w:r>
    </w:p>
    <w:p w14:paraId="551A9B3C">
      <w:pPr>
        <w:spacing w:before="248" w:after="0" w:line="220" w:lineRule="exact"/>
        <w:ind w:left="0" w:right="0" w:firstLine="0"/>
        <w:jc w:val="left"/>
        <w:rPr>
          <w:rFonts w:ascii="Times New Roman"/>
          <w:color w:val="000000"/>
          <w:spacing w:val="0"/>
          <w:sz w:val="21"/>
        </w:rPr>
      </w:pPr>
      <w:r>
        <w:rPr>
          <w:rFonts w:ascii="楷体"/>
          <w:color w:val="000000"/>
          <w:spacing w:val="0"/>
          <w:sz w:val="21"/>
        </w:rPr>
        <w:t>A</w:t>
      </w:r>
      <w:r>
        <w:rPr>
          <w:rFonts w:ascii="Times New Roman"/>
          <w:color w:val="000000"/>
          <w:spacing w:val="0"/>
          <w:sz w:val="21"/>
        </w:rPr>
        <w:t xml:space="preserve"> </w:t>
      </w:r>
      <w:r>
        <w:rPr>
          <w:rFonts w:ascii="楷体" w:hAnsi="楷体" w:cs="楷体"/>
          <w:color w:val="000000"/>
          <w:spacing w:val="0"/>
          <w:sz w:val="21"/>
        </w:rPr>
        <w:t>公司与</w:t>
      </w:r>
      <w:r>
        <w:rPr>
          <w:rFonts w:ascii="Times New Roman"/>
          <w:color w:val="000000"/>
          <w:spacing w:val="0"/>
          <w:sz w:val="21"/>
        </w:rPr>
        <w:t xml:space="preserve"> </w:t>
      </w:r>
      <w:r>
        <w:rPr>
          <w:rFonts w:ascii="楷体"/>
          <w:color w:val="000000"/>
          <w:spacing w:val="0"/>
          <w:sz w:val="21"/>
        </w:rPr>
        <w:t>B</w:t>
      </w:r>
      <w:r>
        <w:rPr>
          <w:rFonts w:ascii="Times New Roman"/>
          <w:color w:val="000000"/>
          <w:spacing w:val="0"/>
          <w:sz w:val="21"/>
        </w:rPr>
        <w:t xml:space="preserve"> </w:t>
      </w:r>
      <w:r>
        <w:rPr>
          <w:rFonts w:ascii="楷体" w:hAnsi="楷体" w:cs="楷体"/>
          <w:color w:val="000000"/>
          <w:spacing w:val="0"/>
          <w:sz w:val="21"/>
        </w:rPr>
        <w:t>公司协商，要求延期两个月交货，B</w:t>
      </w:r>
      <w:r>
        <w:rPr>
          <w:rFonts w:ascii="Times New Roman"/>
          <w:color w:val="000000"/>
          <w:spacing w:val="0"/>
          <w:sz w:val="21"/>
        </w:rPr>
        <w:t xml:space="preserve"> </w:t>
      </w:r>
      <w:r>
        <w:rPr>
          <w:rFonts w:ascii="楷体" w:hAnsi="楷体" w:cs="楷体"/>
          <w:color w:val="000000"/>
          <w:spacing w:val="0"/>
          <w:sz w:val="21"/>
        </w:rPr>
        <w:t>公司不同意。A</w:t>
      </w:r>
      <w:r>
        <w:rPr>
          <w:rFonts w:ascii="Times New Roman"/>
          <w:color w:val="000000"/>
          <w:spacing w:val="0"/>
          <w:sz w:val="21"/>
        </w:rPr>
        <w:t xml:space="preserve"> </w:t>
      </w:r>
      <w:r>
        <w:rPr>
          <w:rFonts w:ascii="楷体" w:hAnsi="楷体" w:cs="楷体"/>
          <w:color w:val="000000"/>
          <w:spacing w:val="0"/>
          <w:sz w:val="21"/>
        </w:rPr>
        <w:t>公司遂直接发函通知</w:t>
      </w:r>
      <w:r>
        <w:rPr>
          <w:rFonts w:ascii="Times New Roman"/>
          <w:color w:val="000000"/>
          <w:spacing w:val="0"/>
          <w:sz w:val="21"/>
        </w:rPr>
        <w:t xml:space="preserve"> </w:t>
      </w:r>
      <w:r>
        <w:rPr>
          <w:rFonts w:ascii="楷体"/>
          <w:color w:val="000000"/>
          <w:spacing w:val="0"/>
          <w:sz w:val="21"/>
        </w:rPr>
        <w:t>B</w:t>
      </w:r>
      <w:r>
        <w:rPr>
          <w:rFonts w:ascii="Times New Roman"/>
          <w:color w:val="000000"/>
          <w:spacing w:val="0"/>
          <w:sz w:val="21"/>
        </w:rPr>
        <w:t xml:space="preserve"> </w:t>
      </w:r>
      <w:r>
        <w:rPr>
          <w:rFonts w:ascii="楷体" w:hAnsi="楷体" w:cs="楷体"/>
          <w:color w:val="000000"/>
          <w:spacing w:val="0"/>
          <w:sz w:val="21"/>
        </w:rPr>
        <w:t>公司延期两个月交货，</w:t>
      </w:r>
    </w:p>
    <w:p w14:paraId="441357FA">
      <w:pPr>
        <w:spacing w:before="248" w:after="0" w:line="220" w:lineRule="exact"/>
        <w:ind w:left="0" w:right="0" w:firstLine="0"/>
        <w:jc w:val="left"/>
        <w:rPr>
          <w:rFonts w:ascii="Times New Roman"/>
          <w:color w:val="000000"/>
          <w:spacing w:val="0"/>
          <w:sz w:val="21"/>
        </w:rPr>
      </w:pPr>
      <w:r>
        <w:rPr>
          <w:rFonts w:ascii="楷体"/>
          <w:color w:val="000000"/>
          <w:spacing w:val="0"/>
          <w:sz w:val="21"/>
        </w:rPr>
        <w:t>B</w:t>
      </w:r>
      <w:r>
        <w:rPr>
          <w:rFonts w:ascii="Times New Roman"/>
          <w:color w:val="000000"/>
          <w:spacing w:val="0"/>
          <w:sz w:val="21"/>
        </w:rPr>
        <w:t xml:space="preserve"> </w:t>
      </w:r>
      <w:r>
        <w:rPr>
          <w:rFonts w:ascii="楷体" w:hAnsi="楷体" w:cs="楷体"/>
          <w:color w:val="000000"/>
          <w:spacing w:val="0"/>
          <w:sz w:val="21"/>
        </w:rPr>
        <w:t>公司未予理会。在约定的交货日，A</w:t>
      </w:r>
      <w:r>
        <w:rPr>
          <w:rFonts w:ascii="Times New Roman"/>
          <w:color w:val="000000"/>
          <w:spacing w:val="0"/>
          <w:sz w:val="21"/>
        </w:rPr>
        <w:t xml:space="preserve"> </w:t>
      </w:r>
      <w:r>
        <w:rPr>
          <w:rFonts w:ascii="楷体" w:hAnsi="楷体" w:cs="楷体"/>
          <w:color w:val="000000"/>
          <w:spacing w:val="0"/>
          <w:sz w:val="21"/>
        </w:rPr>
        <w:t>公司只交付了约定数量的</w:t>
      </w:r>
      <w:r>
        <w:rPr>
          <w:rFonts w:ascii="Times New Roman"/>
          <w:color w:val="000000"/>
          <w:spacing w:val="0"/>
          <w:sz w:val="21"/>
        </w:rPr>
        <w:t xml:space="preserve"> </w:t>
      </w:r>
      <w:r>
        <w:rPr>
          <w:rFonts w:ascii="楷体" w:hAnsi="楷体" w:cs="楷体"/>
          <w:color w:val="000000"/>
          <w:spacing w:val="0"/>
          <w:sz w:val="21"/>
        </w:rPr>
        <w:t>70%，但未给</w:t>
      </w:r>
      <w:r>
        <w:rPr>
          <w:rFonts w:ascii="Times New Roman"/>
          <w:color w:val="000000"/>
          <w:spacing w:val="0"/>
          <w:sz w:val="21"/>
        </w:rPr>
        <w:t xml:space="preserve"> </w:t>
      </w:r>
      <w:r>
        <w:rPr>
          <w:rFonts w:ascii="楷体"/>
          <w:color w:val="000000"/>
          <w:spacing w:val="0"/>
          <w:sz w:val="21"/>
        </w:rPr>
        <w:t>B</w:t>
      </w:r>
      <w:r>
        <w:rPr>
          <w:rFonts w:ascii="Times New Roman"/>
          <w:color w:val="000000"/>
          <w:spacing w:val="0"/>
          <w:sz w:val="21"/>
        </w:rPr>
        <w:t xml:space="preserve"> </w:t>
      </w:r>
      <w:r>
        <w:rPr>
          <w:rFonts w:ascii="楷体" w:hAnsi="楷体" w:cs="楷体"/>
          <w:color w:val="000000"/>
          <w:spacing w:val="0"/>
          <w:sz w:val="21"/>
        </w:rPr>
        <w:t>公司造成损失。B</w:t>
      </w:r>
      <w:r>
        <w:rPr>
          <w:rFonts w:ascii="Times New Roman"/>
          <w:color w:val="000000"/>
          <w:spacing w:val="0"/>
          <w:sz w:val="21"/>
        </w:rPr>
        <w:t xml:space="preserve"> </w:t>
      </w:r>
      <w:r>
        <w:rPr>
          <w:rFonts w:ascii="楷体" w:hAnsi="楷体" w:cs="楷体"/>
          <w:color w:val="000000"/>
          <w:spacing w:val="0"/>
          <w:sz w:val="21"/>
        </w:rPr>
        <w:t>公司诉至</w:t>
      </w:r>
    </w:p>
    <w:p w14:paraId="580BE635">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法院，要求</w:t>
      </w:r>
      <w:r>
        <w:rPr>
          <w:rFonts w:ascii="Times New Roman"/>
          <w:color w:val="000000"/>
          <w:spacing w:val="0"/>
          <w:sz w:val="21"/>
        </w:rPr>
        <w:t xml:space="preserve"> </w:t>
      </w:r>
      <w:r>
        <w:rPr>
          <w:rFonts w:ascii="楷体"/>
          <w:color w:val="000000"/>
          <w:spacing w:val="0"/>
          <w:sz w:val="21"/>
        </w:rPr>
        <w:t>A</w:t>
      </w:r>
      <w:r>
        <w:rPr>
          <w:rFonts w:ascii="Times New Roman"/>
          <w:color w:val="000000"/>
          <w:spacing w:val="0"/>
          <w:sz w:val="21"/>
        </w:rPr>
        <w:t xml:space="preserve"> </w:t>
      </w:r>
      <w:r>
        <w:rPr>
          <w:rFonts w:ascii="楷体" w:hAnsi="楷体" w:cs="楷体"/>
          <w:color w:val="000000"/>
          <w:spacing w:val="0"/>
          <w:sz w:val="21"/>
        </w:rPr>
        <w:t>公司承担违约责任。</w:t>
      </w:r>
    </w:p>
    <w:p w14:paraId="25E6B32B">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根据材料，运用《法律与生活》知识，回答下列问题并说明理由：“A</w:t>
      </w:r>
      <w:r>
        <w:rPr>
          <w:rFonts w:ascii="Times New Roman"/>
          <w:color w:val="000000"/>
          <w:spacing w:val="3"/>
          <w:sz w:val="21"/>
        </w:rPr>
        <w:t xml:space="preserve"> </w:t>
      </w:r>
      <w:r>
        <w:rPr>
          <w:rFonts w:ascii="宋体" w:hAnsi="宋体" w:cs="宋体"/>
          <w:color w:val="000000"/>
          <w:spacing w:val="0"/>
          <w:sz w:val="21"/>
        </w:rPr>
        <w:t>公司的股东应按实际出资承担责任”</w:t>
      </w:r>
    </w:p>
    <w:p w14:paraId="7B60CEE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这一判断是否正确？法院是否应当支持</w:t>
      </w:r>
      <w:r>
        <w:rPr>
          <w:rFonts w:ascii="Times New Roman"/>
          <w:color w:val="000000"/>
          <w:spacing w:val="0"/>
          <w:sz w:val="21"/>
        </w:rPr>
        <w:t xml:space="preserve"> </w:t>
      </w:r>
      <w:r>
        <w:rPr>
          <w:rFonts w:ascii="宋体"/>
          <w:color w:val="000000"/>
          <w:spacing w:val="0"/>
          <w:sz w:val="21"/>
        </w:rPr>
        <w:t>B</w:t>
      </w:r>
      <w:r>
        <w:rPr>
          <w:rFonts w:ascii="Times New Roman"/>
          <w:color w:val="000000"/>
          <w:spacing w:val="0"/>
          <w:sz w:val="21"/>
        </w:rPr>
        <w:t xml:space="preserve"> </w:t>
      </w:r>
      <w:r>
        <w:rPr>
          <w:rFonts w:ascii="宋体" w:hAnsi="宋体" w:cs="宋体"/>
          <w:color w:val="000000"/>
          <w:spacing w:val="0"/>
          <w:sz w:val="21"/>
        </w:rPr>
        <w:t>公司的诉求？</w:t>
      </w:r>
    </w:p>
    <w:p w14:paraId="720DE8CE">
      <w:pPr>
        <w:spacing w:before="6675"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sectPr>
      <w:pgSz w:w="11900" w:h="16840"/>
      <w:pgMar w:top="1452"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E741A9F3-8AD3-42F5-BEDB-C1F14F9A01A2}"/>
  </w:font>
  <w:font w:name="宋体">
    <w:panose1 w:val="02010600030101010101"/>
    <w:charset w:val="86"/>
    <w:family w:val="auto"/>
    <w:pitch w:val="default"/>
    <w:sig w:usb0="00000003" w:usb1="288F0000" w:usb2="00000006" w:usb3="00000000" w:csb0="00040001" w:csb1="00000000"/>
    <w:embedRegular r:id="rId2" w:fontKey="{6947976D-B635-4070-9ADF-3F4942837B24}"/>
  </w:font>
  <w:font w:name="Wingdings">
    <w:panose1 w:val="05000000000000000000"/>
    <w:charset w:val="02"/>
    <w:family w:val="auto"/>
    <w:pitch w:val="default"/>
    <w:sig w:usb0="00000000" w:usb1="00000000" w:usb2="00000000" w:usb3="00000000" w:csb0="80000000" w:csb1="00000000"/>
    <w:embedRegular r:id="rId3" w:fontKey="{8BD35D61-91F7-44AF-ACD1-4A506634D8DC}"/>
  </w:font>
  <w:font w:name="Arial">
    <w:panose1 w:val="020B0604020202020204"/>
    <w:charset w:val="01"/>
    <w:family w:val="swiss"/>
    <w:pitch w:val="default"/>
    <w:sig w:usb0="E0002AFF" w:usb1="C0007843" w:usb2="00000009" w:usb3="00000000" w:csb0="400001FF" w:csb1="FFFF0000"/>
    <w:embedRegular r:id="rId4" w:fontKey="{7B9BCA05-1E44-4D61-A3B1-EB476E93F32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81291EE4-24A2-4F63-9E4C-587E6E358153}"/>
  </w:font>
  <w:font w:name="Symbol">
    <w:panose1 w:val="05050102010706020507"/>
    <w:charset w:val="02"/>
    <w:family w:val="roman"/>
    <w:pitch w:val="default"/>
    <w:sig w:usb0="00000000" w:usb1="00000000" w:usb2="00000000" w:usb3="00000000" w:csb0="80000000" w:csb1="00000000"/>
    <w:embedRegular r:id="rId6" w:fontKey="{9D9B6059-F98D-41C3-A3CC-9C54052C9A35}"/>
  </w:font>
  <w:font w:name="Calibri">
    <w:panose1 w:val="020F0502020204030204"/>
    <w:charset w:val="00"/>
    <w:family w:val="swiss"/>
    <w:pitch w:val="default"/>
    <w:sig w:usb0="E00002FF" w:usb1="4000ACFF" w:usb2="00000001" w:usb3="00000000" w:csb0="2000019F" w:csb1="00000000"/>
    <w:embedRegular r:id="rId7" w:fontKey="{73DD6879-F975-49E6-9806-6C2AD24D6233}"/>
  </w:font>
  <w:font w:name="楷体">
    <w:panose1 w:val="02010609060101010101"/>
    <w:charset w:val="86"/>
    <w:family w:val="auto"/>
    <w:pitch w:val="default"/>
    <w:sig w:usb0="800002BF" w:usb1="38CF7CFA" w:usb2="00000016" w:usb3="00000000" w:csb0="00040001" w:csb1="00000000"/>
    <w:embedRegular r:id="rId8" w:fontKey="{C3B861CB-AB97-4ADC-9191-AE41DEF971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2CC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B6B9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F2A6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 w:val="0EE248C1"/>
    <w:rsid w:val="4A603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4294967295" w:semiHidden="0" w:name="heading 1"/>
    <w:lsdException w:unhideWhenUsed="0" w:uiPriority="4294967295" w:semiHidden="0" w:name="heading 2"/>
    <w:lsdException w:unhideWhenUsed="0" w:uiPriority="4294967295" w:semiHidden="0" w:name="heading 3"/>
    <w:lsdException w:unhideWhenUsed="0" w:uiPriority="4294967295" w:semiHidden="0" w:name="heading 4"/>
    <w:lsdException w:unhideWhenUsed="0" w:uiPriority="4294967295" w:semiHidden="0" w:name="heading 5"/>
    <w:lsdException w:unhideWhenUsed="0" w:uiPriority="4294967295" w:semiHidden="0" w:name="heading 6"/>
    <w:lsdException w:unhideWhenUsed="0" w:uiPriority="4294967295" w:semiHidden="0" w:name="heading 7"/>
    <w:lsdException w:unhideWhenUsed="0" w:uiPriority="4294967295" w:semiHidden="0" w:name="heading 8"/>
    <w:lsdException w:unhideWhenUsed="0" w:uiPriority="4294967295" w:semiHidden="0" w:name="heading 9"/>
    <w:lsdException w:unhideWhenUsed="0" w:uiPriority="4294967295" w:semiHidden="0" w:name="index 1"/>
    <w:lsdException w:unhideWhenUsed="0" w:uiPriority="4294967295" w:semiHidden="0" w:name="index 2"/>
    <w:lsdException w:unhideWhenUsed="0" w:uiPriority="4294967295" w:semiHidden="0" w:name="index 3"/>
    <w:lsdException w:unhideWhenUsed="0" w:uiPriority="4294967295" w:semiHidden="0" w:name="index 4"/>
    <w:lsdException w:unhideWhenUsed="0" w:uiPriority="4294967295" w:semiHidden="0" w:name="index 5"/>
    <w:lsdException w:unhideWhenUsed="0" w:uiPriority="4294967295" w:semiHidden="0" w:name="index 6"/>
    <w:lsdException w:unhideWhenUsed="0" w:uiPriority="4294967295" w:semiHidden="0" w:name="index 7"/>
    <w:lsdException w:unhideWhenUsed="0" w:uiPriority="4294967295" w:semiHidden="0" w:name="index 8"/>
    <w:lsdException w:unhideWhenUsed="0" w:uiPriority="4294967295" w:semiHidden="0" w:name="index 9"/>
    <w:lsdException w:unhideWhenUsed="0" w:uiPriority="4294967295" w:semiHidden="0" w:name="toc 1"/>
    <w:lsdException w:unhideWhenUsed="0" w:uiPriority="4294967295" w:semiHidden="0" w:name="toc 2"/>
    <w:lsdException w:unhideWhenUsed="0" w:uiPriority="4294967295" w:semiHidden="0" w:name="toc 3"/>
    <w:lsdException w:unhideWhenUsed="0" w:uiPriority="4294967295" w:semiHidden="0" w:name="toc 4"/>
    <w:lsdException w:unhideWhenUsed="0" w:uiPriority="4294967295" w:semiHidden="0" w:name="toc 5"/>
    <w:lsdException w:unhideWhenUsed="0" w:uiPriority="4294967295" w:semiHidden="0" w:name="toc 6"/>
    <w:lsdException w:unhideWhenUsed="0" w:uiPriority="4294967295" w:semiHidden="0" w:name="toc 7"/>
    <w:lsdException w:unhideWhenUsed="0" w:uiPriority="4294967295" w:semiHidden="0" w:name="toc 8"/>
    <w:lsdException w:unhideWhenUsed="0" w:uiPriority="4294967295" w:semiHidden="0" w:name="toc 9"/>
    <w:lsdException w:unhideWhenUsed="0" w:uiPriority="4294967295" w:semiHidden="0" w:name="Normal Indent"/>
    <w:lsdException w:unhideWhenUsed="0" w:uiPriority="4294967295" w:semiHidden="0" w:name="footnote text"/>
    <w:lsdException w:unhideWhenUsed="0" w:uiPriority="4294967295" w:semiHidden="0" w:name="annotation text"/>
    <w:lsdException w:qFormat="1" w:unhideWhenUsed="0" w:uiPriority="4294967295" w:semiHidden="0" w:name="header"/>
    <w:lsdException w:qFormat="1" w:unhideWhenUsed="0" w:uiPriority="4294967295" w:semiHidden="0" w:name="footer"/>
    <w:lsdException w:unhideWhenUsed="0" w:uiPriority="4294967295" w:semiHidden="0" w:name="index heading"/>
    <w:lsdException w:unhideWhenUsed="0" w:uiPriority="4294967295" w:semiHidden="0" w:name="caption"/>
    <w:lsdException w:unhideWhenUsed="0" w:uiPriority="4294967295" w:semiHidden="0" w:name="table of figures"/>
    <w:lsdException w:unhideWhenUsed="0" w:uiPriority="4294967295" w:semiHidden="0" w:name="envelope address"/>
    <w:lsdException w:unhideWhenUsed="0" w:uiPriority="4294967295" w:semiHidden="0" w:name="envelope return"/>
    <w:lsdException w:unhideWhenUsed="0" w:uiPriority="4294967295" w:semiHidden="0" w:name="footnote reference"/>
    <w:lsdException w:unhideWhenUsed="0" w:uiPriority="4294967295" w:semiHidden="0" w:name="annotation reference"/>
    <w:lsdException w:unhideWhenUsed="0" w:uiPriority="4294967295" w:semiHidden="0" w:name="line number"/>
    <w:lsdException w:unhideWhenUsed="0" w:uiPriority="4294967295" w:semiHidden="0" w:name="page number"/>
    <w:lsdException w:unhideWhenUsed="0" w:uiPriority="4294967295" w:semiHidden="0" w:name="endnote reference"/>
    <w:lsdException w:unhideWhenUsed="0" w:uiPriority="4294967295" w:semiHidden="0" w:name="endnote text"/>
    <w:lsdException w:unhideWhenUsed="0" w:uiPriority="4294967295" w:semiHidden="0" w:name="table of authorities"/>
    <w:lsdException w:unhideWhenUsed="0" w:uiPriority="4294967295" w:semiHidden="0" w:name="macro"/>
    <w:lsdException w:unhideWhenUsed="0" w:uiPriority="4294967295" w:semiHidden="0" w:name="toa heading"/>
    <w:lsdException w:unhideWhenUsed="0" w:uiPriority="4294967295" w:semiHidden="0" w:name="List"/>
    <w:lsdException w:unhideWhenUsed="0" w:uiPriority="4294967295" w:semiHidden="0" w:name="List Bullet"/>
    <w:lsdException w:unhideWhenUsed="0" w:uiPriority="4294967295" w:semiHidden="0" w:name="List Number"/>
    <w:lsdException w:unhideWhenUsed="0" w:uiPriority="4294967295" w:semiHidden="0" w:name="List 2"/>
    <w:lsdException w:unhideWhenUsed="0" w:uiPriority="4294967295" w:semiHidden="0" w:name="List 3"/>
    <w:lsdException w:unhideWhenUsed="0" w:uiPriority="4294967295" w:semiHidden="0" w:name="List 4"/>
    <w:lsdException w:unhideWhenUsed="0" w:uiPriority="4294967295" w:semiHidden="0" w:name="List 5"/>
    <w:lsdException w:unhideWhenUsed="0" w:uiPriority="4294967295" w:semiHidden="0" w:name="List Bullet 2"/>
    <w:lsdException w:unhideWhenUsed="0" w:uiPriority="4294967295" w:semiHidden="0" w:name="List Bullet 3"/>
    <w:lsdException w:unhideWhenUsed="0" w:uiPriority="4294967295" w:semiHidden="0" w:name="List Bullet 4"/>
    <w:lsdException w:unhideWhenUsed="0" w:uiPriority="4294967295" w:semiHidden="0" w:name="List Bullet 5"/>
    <w:lsdException w:unhideWhenUsed="0" w:uiPriority="4294967295" w:semiHidden="0" w:name="List Number 2"/>
    <w:lsdException w:unhideWhenUsed="0" w:uiPriority="4294967295" w:semiHidden="0" w:name="List Number 3"/>
    <w:lsdException w:unhideWhenUsed="0" w:uiPriority="4294967295" w:semiHidden="0" w:name="List Number 4"/>
    <w:lsdException w:unhideWhenUsed="0" w:uiPriority="4294967295" w:semiHidden="0" w:name="List Number 5"/>
    <w:lsdException w:unhideWhenUsed="0" w:uiPriority="4294967295" w:semiHidden="0" w:name="Title"/>
    <w:lsdException w:unhideWhenUsed="0" w:uiPriority="4294967295" w:semiHidden="0" w:name="Closing"/>
    <w:lsdException w:unhideWhenUsed="0" w:uiPriority="4294967295" w:semiHidden="0" w:name="Signature"/>
    <w:lsdException w:unhideWhenUsed="0" w:uiPriority="0" w:name="Default Paragraph Font"/>
    <w:lsdException w:unhideWhenUsed="0" w:uiPriority="4294967295" w:semiHidden="0" w:name="Body Text"/>
    <w:lsdException w:unhideWhenUsed="0" w:uiPriority="4294967295" w:semiHidden="0" w:name="Body Text Indent"/>
    <w:lsdException w:unhideWhenUsed="0" w:uiPriority="4294967295" w:semiHidden="0" w:name="List Continue"/>
    <w:lsdException w:unhideWhenUsed="0" w:uiPriority="4294967295" w:semiHidden="0" w:name="List Continue 2"/>
    <w:lsdException w:unhideWhenUsed="0" w:uiPriority="4294967295" w:semiHidden="0" w:name="List Continue 3"/>
    <w:lsdException w:unhideWhenUsed="0" w:uiPriority="4294967295" w:semiHidden="0" w:name="List Continue 4"/>
    <w:lsdException w:unhideWhenUsed="0" w:uiPriority="4294967295" w:semiHidden="0" w:name="List Continue 5"/>
    <w:lsdException w:unhideWhenUsed="0" w:uiPriority="4294967295" w:semiHidden="0" w:name="Message Header"/>
    <w:lsdException w:unhideWhenUsed="0" w:uiPriority="4294967295" w:semiHidden="0" w:name="Subtitle"/>
    <w:lsdException w:unhideWhenUsed="0" w:uiPriority="4294967295" w:semiHidden="0" w:name="Salutation"/>
    <w:lsdException w:unhideWhenUsed="0" w:uiPriority="4294967295" w:semiHidden="0" w:name="Date"/>
    <w:lsdException w:unhideWhenUsed="0" w:uiPriority="4294967295" w:semiHidden="0" w:name="Body Text First Indent"/>
    <w:lsdException w:unhideWhenUsed="0" w:uiPriority="4294967295" w:semiHidden="0" w:name="Body Text First Indent 2"/>
    <w:lsdException w:unhideWhenUsed="0" w:uiPriority="4294967295" w:semiHidden="0" w:name="Note Heading"/>
    <w:lsdException w:unhideWhenUsed="0" w:uiPriority="4294967295" w:semiHidden="0" w:name="Body Text 2"/>
    <w:lsdException w:unhideWhenUsed="0" w:uiPriority="4294967295" w:semiHidden="0" w:name="Body Text 3"/>
    <w:lsdException w:unhideWhenUsed="0" w:uiPriority="4294967295" w:semiHidden="0" w:name="Body Text Indent 2"/>
    <w:lsdException w:unhideWhenUsed="0" w:uiPriority="4294967295" w:semiHidden="0" w:name="Body Text Indent 3"/>
    <w:lsdException w:unhideWhenUsed="0" w:uiPriority="4294967295" w:semiHidden="0" w:name="Block Text"/>
    <w:lsdException w:unhideWhenUsed="0" w:uiPriority="4294967295" w:semiHidden="0" w:name="Hyperlink"/>
    <w:lsdException w:unhideWhenUsed="0" w:uiPriority="4294967295" w:semiHidden="0" w:name="FollowedHyperlink"/>
    <w:lsdException w:unhideWhenUsed="0" w:uiPriority="4294967295" w:semiHidden="0" w:name="Strong"/>
    <w:lsdException w:unhideWhenUsed="0" w:uiPriority="4294967295" w:semiHidden="0" w:name="Emphasis"/>
    <w:lsdException w:unhideWhenUsed="0" w:uiPriority="4294967295" w:semiHidden="0" w:name="Document Map"/>
    <w:lsdException w:unhideWhenUsed="0" w:uiPriority="4294967295" w:semiHidden="0" w:name="Plain Text"/>
    <w:lsdException w:unhideWhenUsed="0" w:uiPriority="4294967295" w:semiHidden="0" w:name="E-mail Signature"/>
    <w:lsdException w:unhideWhenUsed="0" w:uiPriority="4294967295" w:semiHidden="0" w:name="Normal (Web)"/>
    <w:lsdException w:unhideWhenUsed="0" w:uiPriority="4294967295" w:semiHidden="0" w:name="HTML Acronym"/>
    <w:lsdException w:unhideWhenUsed="0" w:uiPriority="4294967295" w:semiHidden="0" w:name="HTML Address"/>
    <w:lsdException w:unhideWhenUsed="0" w:uiPriority="4294967295" w:semiHidden="0" w:name="HTML Cite"/>
    <w:lsdException w:unhideWhenUsed="0" w:uiPriority="4294967295" w:semiHidden="0" w:name="HTML Code"/>
    <w:lsdException w:unhideWhenUsed="0" w:uiPriority="4294967295" w:semiHidden="0" w:name="HTML Definition"/>
    <w:lsdException w:unhideWhenUsed="0" w:uiPriority="4294967295" w:semiHidden="0" w:name="HTML Keyboard"/>
    <w:lsdException w:unhideWhenUsed="0" w:uiPriority="4294967295" w:semiHidden="0" w:name="HTML Preformatted"/>
    <w:lsdException w:unhideWhenUsed="0" w:uiPriority="4294967295" w:semiHidden="0" w:name="HTML Sample"/>
    <w:lsdException w:unhideWhenUsed="0" w:uiPriority="4294967295" w:semiHidden="0" w:name="HTML Typewriter"/>
    <w:lsdException w:unhideWhenUsed="0" w:uiPriority="4294967295" w:semiHidden="0" w:name="HTML Variable"/>
    <w:lsdException w:qFormat="1" w:unhideWhenUsed="0" w:uiPriority="4294967295" w:semiHidden="0" w:name="Normal Table"/>
    <w:lsdException w:unhideWhenUsed="0" w:uiPriority="4294967295" w:semiHidden="0" w:name="annotation subject"/>
    <w:lsdException w:qFormat="1" w:unhideWhenUsed="0" w:uiPriority="0" w:name="No List"/>
    <w:lsdException w:unhideWhenUsed="0" w:uiPriority="4294967295" w:semiHidden="0" w:name="Table Simple 1"/>
    <w:lsdException w:unhideWhenUsed="0" w:uiPriority="4294967295" w:semiHidden="0" w:name="Table Simple 2"/>
    <w:lsdException w:unhideWhenUsed="0" w:uiPriority="4294967295" w:semiHidden="0" w:name="Table Simple 3"/>
    <w:lsdException w:unhideWhenUsed="0" w:uiPriority="4294967295" w:semiHidden="0" w:name="Table Classic 1"/>
    <w:lsdException w:unhideWhenUsed="0" w:uiPriority="4294967295" w:semiHidden="0" w:name="Table Classic 2"/>
    <w:lsdException w:unhideWhenUsed="0" w:uiPriority="4294967295" w:semiHidden="0" w:name="Table Classic 3"/>
    <w:lsdException w:unhideWhenUsed="0" w:uiPriority="4294967295" w:semiHidden="0" w:name="Table Classic 4"/>
    <w:lsdException w:unhideWhenUsed="0" w:uiPriority="4294967295" w:semiHidden="0" w:name="Table Colorful 1"/>
    <w:lsdException w:unhideWhenUsed="0" w:uiPriority="4294967295" w:semiHidden="0" w:name="Table Colorful 2"/>
    <w:lsdException w:unhideWhenUsed="0" w:uiPriority="4294967295" w:semiHidden="0" w:name="Table Colorful 3"/>
    <w:lsdException w:unhideWhenUsed="0" w:uiPriority="4294967295" w:semiHidden="0" w:name="Table Columns 1"/>
    <w:lsdException w:unhideWhenUsed="0" w:uiPriority="4294967295" w:semiHidden="0" w:name="Table Columns 2"/>
    <w:lsdException w:unhideWhenUsed="0" w:uiPriority="4294967295" w:semiHidden="0" w:name="Table Columns 3"/>
    <w:lsdException w:unhideWhenUsed="0" w:uiPriority="4294967295" w:semiHidden="0" w:name="Table Columns 4"/>
    <w:lsdException w:unhideWhenUsed="0" w:uiPriority="4294967295" w:semiHidden="0" w:name="Table Columns 5"/>
    <w:lsdException w:unhideWhenUsed="0" w:uiPriority="4294967295" w:semiHidden="0" w:name="Table Grid 1"/>
    <w:lsdException w:unhideWhenUsed="0" w:uiPriority="4294967295" w:semiHidden="0" w:name="Table Grid 2"/>
    <w:lsdException w:unhideWhenUsed="0" w:uiPriority="4294967295" w:semiHidden="0" w:name="Table Grid 3"/>
    <w:lsdException w:unhideWhenUsed="0" w:uiPriority="4294967295" w:semiHidden="0" w:name="Table Grid 4"/>
    <w:lsdException w:unhideWhenUsed="0" w:uiPriority="4294967295" w:semiHidden="0" w:name="Table Grid 5"/>
    <w:lsdException w:unhideWhenUsed="0" w:uiPriority="4294967295" w:semiHidden="0" w:name="Table Grid 6"/>
    <w:lsdException w:unhideWhenUsed="0" w:uiPriority="4294967295" w:semiHidden="0" w:name="Table Grid 7"/>
    <w:lsdException w:unhideWhenUsed="0" w:uiPriority="4294967295" w:semiHidden="0" w:name="Table Grid 8"/>
    <w:lsdException w:unhideWhenUsed="0" w:uiPriority="4294967295" w:semiHidden="0" w:name="Table List 1"/>
    <w:lsdException w:unhideWhenUsed="0" w:uiPriority="4294967295" w:semiHidden="0" w:name="Table List 2"/>
    <w:lsdException w:unhideWhenUsed="0" w:uiPriority="4294967295" w:semiHidden="0" w:name="Table List 3"/>
    <w:lsdException w:unhideWhenUsed="0" w:uiPriority="4294967295" w:semiHidden="0" w:name="Table List 4"/>
    <w:lsdException w:unhideWhenUsed="0" w:uiPriority="4294967295" w:semiHidden="0" w:name="Table List 5"/>
    <w:lsdException w:unhideWhenUsed="0" w:uiPriority="4294967295" w:semiHidden="0" w:name="Table List 6"/>
    <w:lsdException w:unhideWhenUsed="0" w:uiPriority="4294967295" w:semiHidden="0" w:name="Table List 7"/>
    <w:lsdException w:unhideWhenUsed="0" w:uiPriority="4294967295" w:semiHidden="0" w:name="Table List 8"/>
    <w:lsdException w:unhideWhenUsed="0" w:uiPriority="4294967295" w:semiHidden="0" w:name="Table 3D effects 1"/>
    <w:lsdException w:unhideWhenUsed="0" w:uiPriority="4294967295" w:semiHidden="0" w:name="Table 3D effects 2"/>
    <w:lsdException w:unhideWhenUsed="0" w:uiPriority="4294967295" w:semiHidden="0" w:name="Table 3D effects 3"/>
    <w:lsdException w:unhideWhenUsed="0" w:uiPriority="4294967295" w:semiHidden="0" w:name="Table Contemporary"/>
    <w:lsdException w:unhideWhenUsed="0" w:uiPriority="4294967295" w:semiHidden="0" w:name="Table Elegant"/>
    <w:lsdException w:unhideWhenUsed="0" w:uiPriority="4294967295" w:semiHidden="0" w:name="Table Professional"/>
    <w:lsdException w:unhideWhenUsed="0" w:uiPriority="4294967295" w:semiHidden="0" w:name="Table Subtle 1"/>
    <w:lsdException w:unhideWhenUsed="0" w:uiPriority="4294967295" w:semiHidden="0" w:name="Table Subtle 2"/>
    <w:lsdException w:unhideWhenUsed="0" w:uiPriority="4294967295" w:semiHidden="0" w:name="Table Web 1"/>
    <w:lsdException w:unhideWhenUsed="0" w:uiPriority="4294967295" w:semiHidden="0" w:name="Table Web 2"/>
    <w:lsdException w:unhideWhenUsed="0" w:uiPriority="4294967295" w:semiHidden="0" w:name="Table Web 3"/>
    <w:lsdException w:unhideWhenUsed="0" w:uiPriority="4294967295" w:semiHidden="0" w:name="Balloon Text"/>
    <w:lsdException w:unhideWhenUsed="0" w:uiPriority="4294967295" w:semiHidden="0" w:name="Table Grid"/>
    <w:lsdException w:unhideWhenUsed="0" w:uiPriority="4294967295"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uiPriority w:val="0"/>
  </w:style>
  <w:style w:type="table" w:default="1" w:styleId="4">
    <w:name w:val="Normal Table"/>
    <w:qFormat/>
    <w:uiPriority w:val="4294967295"/>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1"/>
      <w:szCs w:val="22"/>
    </w:rPr>
  </w:style>
  <w:style w:type="paragraph" w:styleId="2">
    <w:name w:val="footer"/>
    <w:basedOn w:val="1"/>
    <w:qFormat/>
    <w:uiPriority w:val="4294967295"/>
    <w:pPr>
      <w:tabs>
        <w:tab w:val="center" w:pos="4153"/>
        <w:tab w:val="right" w:pos="8306"/>
      </w:tabs>
      <w:snapToGrid w:val="0"/>
      <w:jc w:val="left"/>
    </w:pPr>
    <w:rPr>
      <w:sz w:val="18"/>
    </w:rPr>
  </w:style>
  <w:style w:type="paragraph" w:styleId="3">
    <w:name w:val="header"/>
    <w:basedOn w:val="1"/>
    <w:qFormat/>
    <w:uiPriority w:val="4294967295"/>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14</Pages>
  <Words>5431</Words>
  <Characters>5597</Characters>
  <Lines>0</Lines>
  <Paragraphs>190</Paragraphs>
  <TotalTime>3</TotalTime>
  <ScaleCrop>false</ScaleCrop>
  <LinksUpToDate>false</LinksUpToDate>
  <CharactersWithSpaces>5848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2026-06-24T08:32:00Z</dcterms:created>
  <dc:creator>Administrator</dc:creator>
  <cp:lastModifiedBy>上帝掷骰子吗</cp:lastModifiedBy>
  <dcterms:modified xsi:type="dcterms:W3CDTF">2026-09-18T16:48:32Z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2052-12.1.0.28505</vt:lpwstr>
  </property>
  <property fmtid="{D5CDD505-2E9C-101B-9397-08002B2CF9AE}" pid="4" name="ICV">
    <vt:lpwstr>59E17D902A4B428CBF64B17DECBBE388_12</vt:lpwstr>
  </property>
</Properties>
</file>