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2E4F70">
      <w:pPr>
        <w:spacing w:before="0" w:after="0" w:line="359" w:lineRule="exact"/>
        <w:ind w:left="3236" w:right="0" w:firstLine="0"/>
        <w:jc w:val="left"/>
        <w:rPr>
          <w:rFonts w:ascii="Times New Roman"/>
          <w:color w:val="000000"/>
          <w:spacing w:val="0"/>
          <w:sz w:val="32"/>
        </w:rPr>
      </w:pPr>
      <w:r>
        <w:pict>
          <v:shape id="_x00000" o:spid="_x0000_s1026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1" o:spid="_x0000_s1027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2" o:spid="_x0000_s1028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rPr>
          <w:rFonts w:ascii="Times New Roman"/>
          <w:b/>
          <w:color w:val="000000"/>
          <w:spacing w:val="-2"/>
          <w:sz w:val="32"/>
        </w:rPr>
        <w:t>2026</w:t>
      </w:r>
      <w:r>
        <w:rPr>
          <w:rFonts w:ascii="Times New Roman"/>
          <w:b/>
          <w:color w:val="000000"/>
          <w:spacing w:val="1"/>
          <w:sz w:val="32"/>
        </w:rPr>
        <w:t xml:space="preserve"> </w:t>
      </w:r>
      <w:r>
        <w:rPr>
          <w:rFonts w:ascii="宋体" w:hAnsi="宋体" w:cs="宋体"/>
          <w:color w:val="000000"/>
          <w:spacing w:val="0"/>
          <w:sz w:val="32"/>
        </w:rPr>
        <w:t>年四川省高考试题</w:t>
      </w:r>
    </w:p>
    <w:p w14:paraId="5DB4DEFD">
      <w:pPr>
        <w:spacing w:before="282" w:after="0" w:line="325" w:lineRule="exact"/>
        <w:ind w:left="4394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宋体" w:hAnsi="宋体" w:cs="宋体"/>
          <w:color w:val="000000"/>
          <w:spacing w:val="0"/>
          <w:sz w:val="32"/>
        </w:rPr>
        <w:t>生物学</w:t>
      </w:r>
    </w:p>
    <w:p w14:paraId="21139565">
      <w:pPr>
        <w:spacing w:before="2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一、单项选择题：本题共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15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2"/>
          <w:sz w:val="24"/>
        </w:rPr>
        <w:t>小题，每小题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3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4"/>
          <w:sz w:val="24"/>
        </w:rPr>
        <w:t>分，共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45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分。在每小题给出的四个选项中，只</w:t>
      </w:r>
    </w:p>
    <w:p w14:paraId="3021B016">
      <w:pPr>
        <w:spacing w:before="205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有一项是最符合题目要求的。</w:t>
      </w:r>
    </w:p>
    <w:p w14:paraId="7AAAF4DB">
      <w:pPr>
        <w:spacing w:before="22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1. 5 </w:t>
      </w:r>
      <w:r>
        <w:rPr>
          <w:rFonts w:ascii="宋体" w:hAnsi="宋体" w:cs="宋体"/>
          <w:color w:val="000000"/>
          <w:spacing w:val="0"/>
          <w:sz w:val="21"/>
        </w:rPr>
        <w:t>月</w:t>
      </w:r>
      <w:r>
        <w:rPr>
          <w:rFonts w:ascii="Times New Roman"/>
          <w:color w:val="000000"/>
          <w:spacing w:val="0"/>
          <w:sz w:val="21"/>
        </w:rPr>
        <w:t xml:space="preserve"> 20 </w:t>
      </w:r>
      <w:r>
        <w:rPr>
          <w:rFonts w:ascii="宋体" w:hAnsi="宋体" w:cs="宋体"/>
          <w:color w:val="000000"/>
          <w:spacing w:val="0"/>
          <w:sz w:val="21"/>
        </w:rPr>
        <w:t>日为中国学生营养日，全面均衡饮食有利于健康成长。下列叙述正确的是（</w:t>
      </w:r>
      <w:r>
        <w:rPr>
          <w:rFonts w:ascii="Times New Roman"/>
          <w:color w:val="000000"/>
          <w:spacing w:val="4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CE6A59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低血钙会导致肌肉抽搐，奶制品是钙的重要来源</w:t>
      </w:r>
    </w:p>
    <w:p w14:paraId="6D73A03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只吃肉、不吃水果蔬菜，易造成身体缺乏蛋白质</w:t>
      </w:r>
    </w:p>
    <w:p w14:paraId="54270E1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粗粮有益健康，其中的纤维素可直接为人体供能</w:t>
      </w:r>
    </w:p>
    <w:p w14:paraId="1001264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均衡饮食是指各种营养元素摄入充足、比例相同</w:t>
      </w:r>
    </w:p>
    <w:p w14:paraId="662E706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汉坦病毒以啮齿类动物为主要自然宿主，人类接触汉坦病毒宿主或其排泄物、分泌物可能被感染。下列</w:t>
      </w:r>
    </w:p>
    <w:p w14:paraId="23EDFEE4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叙述错误的是（</w:t>
      </w:r>
      <w:r>
        <w:rPr>
          <w:rFonts w:ascii="Times New Roman"/>
          <w:color w:val="000000"/>
          <w:spacing w:val="4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7A43E66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啮齿类动物丰富度下降，汉坦病毒传播率也下降</w:t>
      </w:r>
    </w:p>
    <w:p w14:paraId="1EEC891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可利用抗原与抗体结合原理检测机体是否被感染</w:t>
      </w:r>
    </w:p>
    <w:p w14:paraId="1AFD603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汉坦病毒必须在宿主活细胞内才能完成病毒增殖</w:t>
      </w:r>
    </w:p>
    <w:p w14:paraId="2ACFB7C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人体依赖机体免疫防御功能清除感染的汉坦病毒</w:t>
      </w:r>
    </w:p>
    <w:p w14:paraId="69FEA2C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《荀子·富国篇》里记有“多粪肥田，是农众庶之事也”，说明我国劳动人民自古就十分重视粪便的资</w:t>
      </w:r>
    </w:p>
    <w:p w14:paraId="66DC0A59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源化利用。下列叙述错误的是（</w:t>
      </w:r>
      <w:r>
        <w:rPr>
          <w:rFonts w:ascii="Times New Roman"/>
          <w:color w:val="000000"/>
          <w:spacing w:val="4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AB30253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施用粪肥有助于提高土壤肥力，改善土壤结构</w:t>
      </w:r>
    </w:p>
    <w:p w14:paraId="4D4F6C5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粪便经过微生物发酵，可以产生富含甲烷的气体</w:t>
      </w:r>
    </w:p>
    <w:p w14:paraId="1BB9990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“多粪肥田”可使粪便中的能量更多地流向农作物</w:t>
      </w:r>
    </w:p>
    <w:p w14:paraId="12AADE4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粪便还田可减少化肥的使用，有利于降低碳排放</w:t>
      </w:r>
    </w:p>
    <w:p w14:paraId="417D474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长江十年禁渔实施以来，长江鱼类资源和生物多样性恢复持续向好，顶级捕食者长江江豚种群数量增长</w:t>
      </w:r>
    </w:p>
    <w:p w14:paraId="48A4E93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已超</w:t>
      </w:r>
      <w:r>
        <w:rPr>
          <w:rFonts w:ascii="Times New Roman"/>
          <w:color w:val="000000"/>
          <w:spacing w:val="0"/>
          <w:sz w:val="21"/>
        </w:rPr>
        <w:t xml:space="preserve"> 30%</w:t>
      </w:r>
      <w:r>
        <w:rPr>
          <w:rFonts w:ascii="宋体" w:hAnsi="宋体" w:cs="宋体"/>
          <w:color w:val="000000"/>
          <w:spacing w:val="0"/>
          <w:sz w:val="21"/>
        </w:rPr>
        <w:t>。下列叙述错误的是（</w:t>
      </w:r>
      <w:r>
        <w:rPr>
          <w:rFonts w:ascii="Times New Roman"/>
          <w:color w:val="000000"/>
          <w:spacing w:val="4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1BFE8B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长江生物多样性恢复说明人类活动可改变群落演替的方向</w:t>
      </w:r>
    </w:p>
    <w:p w14:paraId="7D7A4F9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长江江豚种群数量增加说明能量传递至最高营养级的效率增加</w:t>
      </w:r>
    </w:p>
    <w:p w14:paraId="446049A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禁渔措施减小了环境阻力，提升了长江江豚的环境容纳量</w:t>
      </w:r>
    </w:p>
    <w:p w14:paraId="5646F86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长江江豚种群数量增加体现了禁渔这一就地保护措施的有效性</w:t>
      </w:r>
    </w:p>
    <w:p w14:paraId="58C3044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为探究编码酪氨酸酶的</w:t>
      </w:r>
      <w:r>
        <w:rPr>
          <w:rFonts w:ascii="Times New Roman"/>
          <w:color w:val="000000"/>
          <w:spacing w:val="0"/>
          <w:sz w:val="21"/>
        </w:rPr>
        <w:t xml:space="preserve"> T </w:t>
      </w:r>
      <w:r>
        <w:rPr>
          <w:rFonts w:ascii="宋体" w:hAnsi="宋体" w:cs="宋体"/>
          <w:color w:val="000000"/>
          <w:spacing w:val="0"/>
          <w:sz w:val="21"/>
        </w:rPr>
        <w:t>基因对狗毛色的影响，有人通过如图所示过程获得了两只小狗。下列叙述正确</w:t>
      </w:r>
    </w:p>
    <w:p w14:paraId="0E1DD276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的是（</w:t>
      </w:r>
      <w:r>
        <w:rPr>
          <w:rFonts w:ascii="Times New Roman"/>
          <w:color w:val="000000"/>
          <w:spacing w:val="4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5E37E01">
      <w:pPr>
        <w:spacing w:before="276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779EAC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095AD1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C13D810">
      <w:pPr>
        <w:sectPr>
          <w:headerReference r:id="rId6" w:type="first"/>
          <w:footerReference r:id="rId9" w:type="first"/>
          <w:headerReference r:id="rId4" w:type="default"/>
          <w:footerReference r:id="rId7" w:type="default"/>
          <w:headerReference r:id="rId5" w:type="even"/>
          <w:footerReference r:id="rId8" w:type="even"/>
          <w:pgSz w:w="11900" w:h="16840"/>
          <w:pgMar w:top="1462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4295E53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7C0A116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3" o:spid="_x0000_s1029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4" o:spid="_x0000_s1030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5" o:spid="_x0000_s1031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pict>
          <v:shape id="_x00006" o:spid="_x0000_s1032" o:spt="75" type="#_x0000_t75" style="position:absolute;left:0pt;margin-left:53pt;margin-top:68.05pt;height:136.35pt;width:276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采集卵子后立即与获能的精子受精，可有效提高受精率</w:t>
      </w:r>
    </w:p>
    <w:p w14:paraId="2E6E236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将胚胎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0"/>
          <w:sz w:val="21"/>
        </w:rPr>
        <w:t>培养至桑葚胚期，取成纤维细胞完成后续实验</w:t>
      </w:r>
    </w:p>
    <w:p w14:paraId="0BE0ED8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用蛋白酶合成抑制剂激活重构胚，可获得胚胎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和胚胎</w:t>
      </w:r>
      <w:r>
        <w:rPr>
          <w:rFonts w:ascii="Times New Roman"/>
          <w:color w:val="000000"/>
          <w:spacing w:val="0"/>
          <w:sz w:val="21"/>
        </w:rPr>
        <w:t xml:space="preserve"> 3</w:t>
      </w:r>
    </w:p>
    <w:p w14:paraId="20EE281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利用现代生物技术获得的两只小狗毛色和性别可能都不一样</w:t>
      </w:r>
    </w:p>
    <w:p w14:paraId="7415B63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甲与乙是二倍体近缘物种，甲的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号和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32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号染色体由祖先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号染色体断裂形成，乙保留了祖先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号染色</w:t>
      </w:r>
    </w:p>
    <w:p w14:paraId="12DD11A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1"/>
          <w:sz w:val="21"/>
        </w:rPr>
        <w:t>体；二者其余染色体数目相同。端粒酶是含有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RNA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序列的逆转录酶复合体，与端粒形成有关。在甲物种形</w:t>
      </w:r>
    </w:p>
    <w:p w14:paraId="195EDCA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4"/>
          <w:sz w:val="21"/>
        </w:rPr>
        <w:t>成过程中，基因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Dna2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突变，表达水平降低，改变端粒酶活性，影响端粒形成。下列推断不合理的是（</w:t>
      </w:r>
      <w:r>
        <w:rPr>
          <w:rFonts w:ascii="Times New Roman"/>
          <w:color w:val="000000"/>
          <w:spacing w:val="47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AE391D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端粒酶以</w:t>
      </w:r>
      <w:r>
        <w:rPr>
          <w:rFonts w:ascii="Times New Roman"/>
          <w:color w:val="000000"/>
          <w:spacing w:val="0"/>
          <w:sz w:val="21"/>
        </w:rPr>
        <w:t xml:space="preserve"> RNA </w:t>
      </w:r>
      <w:r>
        <w:rPr>
          <w:rFonts w:ascii="宋体" w:hAnsi="宋体" w:cs="宋体"/>
          <w:color w:val="000000"/>
          <w:spacing w:val="0"/>
          <w:sz w:val="21"/>
        </w:rPr>
        <w:t>为模板合成</w:t>
      </w:r>
      <w:r>
        <w:rPr>
          <w:rFonts w:ascii="Times New Roman"/>
          <w:color w:val="000000"/>
          <w:spacing w:val="0"/>
          <w:sz w:val="21"/>
        </w:rPr>
        <w:t xml:space="preserve"> DNA</w:t>
      </w:r>
    </w:p>
    <w:p w14:paraId="7AFFCA9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敲除基因</w:t>
      </w:r>
      <w:r>
        <w:rPr>
          <w:rFonts w:ascii="Times New Roman"/>
          <w:color w:val="000000"/>
          <w:spacing w:val="0"/>
          <w:sz w:val="21"/>
        </w:rPr>
        <w:t xml:space="preserve"> Dna2 </w:t>
      </w:r>
      <w:r>
        <w:rPr>
          <w:rFonts w:ascii="宋体" w:hAnsi="宋体" w:cs="宋体"/>
          <w:color w:val="000000"/>
          <w:spacing w:val="0"/>
          <w:sz w:val="21"/>
        </w:rPr>
        <w:t>不利于新端粒的形成</w:t>
      </w:r>
    </w:p>
    <w:p w14:paraId="1E7D6E0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甲成熟生殖细胞的染色体比乙多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0"/>
          <w:sz w:val="21"/>
        </w:rPr>
        <w:t>条</w:t>
      </w:r>
    </w:p>
    <w:p w14:paraId="0B28570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该染色体断裂事件会阻碍甲和乙之间的基因交流</w:t>
      </w:r>
    </w:p>
    <w:p w14:paraId="4F54213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器官在移植过程中面临离体缺血和再灌注的双重损伤。器官离体后，缺血导致细胞供氧不足，影响细胞</w:t>
      </w:r>
    </w:p>
    <w:p w14:paraId="47803528">
      <w:pPr>
        <w:spacing w:before="212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呼吸；恢复血液灌注后，短时间内大量的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O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3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会激活膜外的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NADPH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氧化酶，进而产生带电的自由基，损伤</w:t>
      </w:r>
    </w:p>
    <w:p w14:paraId="06B203A2">
      <w:pPr>
        <w:spacing w:before="22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细胞。下列叙述正确的是（</w:t>
      </w:r>
      <w:r>
        <w:rPr>
          <w:rFonts w:ascii="Times New Roman"/>
          <w:color w:val="000000"/>
          <w:spacing w:val="4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6856421">
      <w:pPr>
        <w:spacing w:before="223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缺血时，无氧呼吸积累大量</w:t>
      </w:r>
      <w:r>
        <w:rPr>
          <w:rFonts w:ascii="Times New Roman"/>
          <w:color w:val="000000"/>
          <w:spacing w:val="0"/>
          <w:sz w:val="21"/>
        </w:rPr>
        <w:t xml:space="preserve"> CO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，细胞</w:t>
      </w:r>
      <w:r>
        <w:rPr>
          <w:rFonts w:ascii="Times New Roman"/>
          <w:color w:val="000000"/>
          <w:spacing w:val="0"/>
          <w:sz w:val="21"/>
        </w:rPr>
        <w:t xml:space="preserve"> pH </w:t>
      </w:r>
      <w:r>
        <w:rPr>
          <w:rFonts w:ascii="宋体" w:hAnsi="宋体" w:cs="宋体"/>
          <w:color w:val="000000"/>
          <w:spacing w:val="0"/>
          <w:sz w:val="21"/>
        </w:rPr>
        <w:t>下降，酶的活性降低</w:t>
      </w:r>
    </w:p>
    <w:p w14:paraId="60466C06">
      <w:pPr>
        <w:spacing w:before="195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缺血时，细胞的</w:t>
      </w:r>
      <w:r>
        <w:rPr>
          <w:rFonts w:ascii="Times New Roman"/>
          <w:color w:val="000000"/>
          <w:spacing w:val="0"/>
          <w:sz w:val="21"/>
        </w:rPr>
        <w:t xml:space="preserve"> Na</w:t>
      </w:r>
      <w:r>
        <w:rPr>
          <w:rFonts w:ascii="Times New Roman"/>
          <w:color w:val="000000"/>
          <w:spacing w:val="0"/>
          <w:sz w:val="15"/>
        </w:rPr>
        <w:t>+</w:t>
      </w:r>
      <w:r>
        <w:rPr>
          <w:rFonts w:ascii="宋体" w:hAnsi="宋体" w:cs="宋体"/>
          <w:color w:val="000000"/>
          <w:spacing w:val="0"/>
          <w:sz w:val="21"/>
        </w:rPr>
        <w:t>运出受阻，胞内渗透压升高，导致细胞肿胀</w:t>
      </w:r>
    </w:p>
    <w:p w14:paraId="4CDA96D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再灌注后，</w:t>
      </w:r>
      <w:r>
        <w:rPr>
          <w:rFonts w:ascii="Times New Roman"/>
          <w:color w:val="000000"/>
          <w:spacing w:val="0"/>
          <w:sz w:val="21"/>
        </w:rPr>
        <w:t xml:space="preserve">NADPH </w:t>
      </w:r>
      <w:r>
        <w:rPr>
          <w:rFonts w:ascii="宋体" w:hAnsi="宋体" w:cs="宋体"/>
          <w:color w:val="000000"/>
          <w:spacing w:val="0"/>
          <w:sz w:val="21"/>
        </w:rPr>
        <w:t>氧化酶催化产生的自由基以自由扩散方式进入细胞</w:t>
      </w:r>
    </w:p>
    <w:p w14:paraId="27C6747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再灌注后，细胞核内</w:t>
      </w:r>
      <w:r>
        <w:rPr>
          <w:rFonts w:ascii="Times New Roman"/>
          <w:color w:val="000000"/>
          <w:spacing w:val="0"/>
          <w:sz w:val="21"/>
        </w:rPr>
        <w:t xml:space="preserve"> DNA </w:t>
      </w:r>
      <w:r>
        <w:rPr>
          <w:rFonts w:ascii="宋体" w:hAnsi="宋体" w:cs="宋体"/>
          <w:color w:val="000000"/>
          <w:spacing w:val="0"/>
          <w:sz w:val="21"/>
        </w:rPr>
        <w:t>因与蛋白质紧密结合，不受自由基攻击破坏</w:t>
      </w:r>
    </w:p>
    <w:p w14:paraId="3B0BA77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前列腺细胞中的</w:t>
      </w:r>
      <w:r>
        <w:rPr>
          <w:rFonts w:ascii="Times New Roman"/>
          <w:color w:val="000000"/>
          <w:spacing w:val="0"/>
          <w:sz w:val="21"/>
        </w:rPr>
        <w:t xml:space="preserve"> NOB1 </w:t>
      </w:r>
      <w:r>
        <w:rPr>
          <w:rFonts w:ascii="宋体" w:hAnsi="宋体" w:cs="宋体"/>
          <w:color w:val="000000"/>
          <w:spacing w:val="0"/>
          <w:sz w:val="21"/>
        </w:rPr>
        <w:t>基因是原癌基因，其突变导致了细胞癌变。阿霉素处理后，前列腺癌细胞发生衰</w:t>
      </w:r>
    </w:p>
    <w:p w14:paraId="0969C1A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老和凋亡；</w:t>
      </w:r>
      <w:r>
        <w:rPr>
          <w:rFonts w:ascii="Times New Roman"/>
          <w:color w:val="000000"/>
          <w:spacing w:val="0"/>
          <w:sz w:val="21"/>
        </w:rPr>
        <w:t xml:space="preserve">P27 </w:t>
      </w:r>
      <w:r>
        <w:rPr>
          <w:rFonts w:ascii="宋体" w:hAnsi="宋体" w:cs="宋体"/>
          <w:color w:val="000000"/>
          <w:spacing w:val="0"/>
          <w:sz w:val="21"/>
        </w:rPr>
        <w:t>基因表达增加，</w:t>
      </w:r>
      <w:r>
        <w:rPr>
          <w:rFonts w:ascii="Times New Roman"/>
          <w:color w:val="000000"/>
          <w:spacing w:val="0"/>
          <w:sz w:val="21"/>
        </w:rPr>
        <w:t xml:space="preserve">E2F1 </w:t>
      </w:r>
      <w:r>
        <w:rPr>
          <w:rFonts w:ascii="宋体" w:hAnsi="宋体" w:cs="宋体"/>
          <w:color w:val="000000"/>
          <w:spacing w:val="0"/>
          <w:sz w:val="21"/>
        </w:rPr>
        <w:t>基因表达降低。下列分析合理的是（</w:t>
      </w:r>
      <w:r>
        <w:rPr>
          <w:rFonts w:ascii="Times New Roman"/>
          <w:color w:val="000000"/>
          <w:spacing w:val="4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8550D2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前列腺癌细胞因表面的糖蛋白增加，容易分散和转移</w:t>
      </w:r>
    </w:p>
    <w:p w14:paraId="27020FB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前列腺癌细胞的衰老和凋亡是基因突变的结果</w:t>
      </w:r>
    </w:p>
    <w:p w14:paraId="4BE331B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衰老的癌细胞中</w:t>
      </w:r>
      <w:r>
        <w:rPr>
          <w:rFonts w:ascii="Times New Roman"/>
          <w:color w:val="000000"/>
          <w:spacing w:val="0"/>
          <w:sz w:val="21"/>
        </w:rPr>
        <w:t xml:space="preserve"> P27 </w:t>
      </w:r>
      <w:r>
        <w:rPr>
          <w:rFonts w:ascii="宋体" w:hAnsi="宋体" w:cs="宋体"/>
          <w:color w:val="000000"/>
          <w:spacing w:val="0"/>
          <w:sz w:val="21"/>
        </w:rPr>
        <w:t>基因比</w:t>
      </w:r>
      <w:r>
        <w:rPr>
          <w:rFonts w:ascii="Times New Roman"/>
          <w:color w:val="000000"/>
          <w:spacing w:val="0"/>
          <w:sz w:val="21"/>
        </w:rPr>
        <w:t xml:space="preserve"> E2F1 </w:t>
      </w:r>
      <w:r>
        <w:rPr>
          <w:rFonts w:ascii="宋体" w:hAnsi="宋体" w:cs="宋体"/>
          <w:color w:val="000000"/>
          <w:spacing w:val="0"/>
          <w:sz w:val="21"/>
        </w:rPr>
        <w:t>基因转录的</w:t>
      </w:r>
      <w:r>
        <w:rPr>
          <w:rFonts w:ascii="Times New Roman"/>
          <w:color w:val="000000"/>
          <w:spacing w:val="0"/>
          <w:sz w:val="21"/>
        </w:rPr>
        <w:t xml:space="preserve"> mRNA </w:t>
      </w:r>
      <w:r>
        <w:rPr>
          <w:rFonts w:ascii="宋体" w:hAnsi="宋体" w:cs="宋体"/>
          <w:color w:val="000000"/>
          <w:spacing w:val="0"/>
          <w:sz w:val="21"/>
        </w:rPr>
        <w:t>更多</w:t>
      </w:r>
    </w:p>
    <w:p w14:paraId="7E6E59E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D. NOB1 </w:t>
      </w:r>
      <w:r>
        <w:rPr>
          <w:rFonts w:ascii="宋体" w:hAnsi="宋体" w:cs="宋体"/>
          <w:color w:val="000000"/>
          <w:spacing w:val="0"/>
          <w:sz w:val="21"/>
        </w:rPr>
        <w:t>基因突变后在前列腺癌细胞中会过量表达</w:t>
      </w:r>
    </w:p>
    <w:p w14:paraId="76D915F9">
      <w:pPr>
        <w:spacing w:before="10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3F93F1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12FB7B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01D7398A">
      <w:pPr>
        <w:sectPr>
          <w:pgSz w:w="11900" w:h="16840"/>
          <w:pgMar w:top="425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0394FAD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560D55D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7" o:spid="_x0000_s1033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8" o:spid="_x0000_s1034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9" o:spid="_x0000_s1035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pict>
          <v:shape id="_x000010" o:spid="_x0000_s1036" o:spt="75" type="#_x0000_t75" style="position:absolute;left:0pt;margin-left:53pt;margin-top:113.05pt;height:78.55pt;width:396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" o:title=""/>
            <o:lock v:ext="edit" aspectratio="t"/>
          </v:shape>
        </w:pict>
      </w:r>
      <w:r>
        <w:pict>
          <v:shape id="_x000011" o:spid="_x0000_s1037" o:spt="75" type="#_x0000_t75" style="position:absolute;left:0pt;margin-left:53pt;margin-top:498.75pt;height:196.35pt;width:414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7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在观察洋葱根尖分生区组织细胞的有丝分裂实验中，某同学观察到</w:t>
      </w:r>
      <w:r>
        <w:rPr>
          <w:rFonts w:ascii="Times New Roman"/>
          <w:color w:val="000000"/>
          <w:spacing w:val="0"/>
          <w:sz w:val="21"/>
        </w:rPr>
        <w:t xml:space="preserve"> 5 </w:t>
      </w:r>
      <w:r>
        <w:rPr>
          <w:rFonts w:ascii="宋体" w:hAnsi="宋体" w:cs="宋体"/>
          <w:color w:val="000000"/>
          <w:spacing w:val="0"/>
          <w:sz w:val="21"/>
        </w:rPr>
        <w:t>个不同视野，每个视野中用箭头标</w:t>
      </w:r>
    </w:p>
    <w:p w14:paraId="4AA0B36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示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0"/>
          <w:sz w:val="21"/>
        </w:rPr>
        <w:t>个细胞，分别用①</w:t>
      </w:r>
      <w:r>
        <w:rPr>
          <w:rFonts w:ascii="Times New Roman"/>
          <w:color w:val="000000"/>
          <w:spacing w:val="0"/>
          <w:sz w:val="21"/>
        </w:rPr>
        <w:t>~</w:t>
      </w:r>
      <w:r>
        <w:rPr>
          <w:rFonts w:ascii="宋体" w:hAnsi="宋体" w:cs="宋体"/>
          <w:color w:val="000000"/>
          <w:spacing w:val="0"/>
          <w:sz w:val="21"/>
        </w:rPr>
        <w:t>⑤表示。下列叙述正确的是（</w:t>
      </w:r>
      <w:r>
        <w:rPr>
          <w:rFonts w:ascii="Times New Roman"/>
          <w:color w:val="000000"/>
          <w:spacing w:val="4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CE11AF9">
      <w:pPr>
        <w:spacing w:before="178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制片需取</w:t>
      </w:r>
      <w:r>
        <w:rPr>
          <w:rFonts w:ascii="Times New Roman"/>
          <w:color w:val="000000"/>
          <w:spacing w:val="0"/>
          <w:sz w:val="21"/>
        </w:rPr>
        <w:t xml:space="preserve"> 2~3 cm </w:t>
      </w:r>
      <w:r>
        <w:rPr>
          <w:rFonts w:ascii="宋体" w:hAnsi="宋体" w:cs="宋体"/>
          <w:color w:val="000000"/>
          <w:spacing w:val="0"/>
          <w:sz w:val="21"/>
        </w:rPr>
        <w:t>的洋葱根尖，依次进行解离、染色和漂洗处理</w:t>
      </w:r>
    </w:p>
    <w:p w14:paraId="65D6D64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在低倍镜下找到分生区细胞后，用手指推转物镜切换到高倍镜</w:t>
      </w:r>
    </w:p>
    <w:p w14:paraId="27D24AC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将图中的细胞按照分裂顺序排序，依次是④→②→⑤→③→①</w:t>
      </w:r>
    </w:p>
    <w:p w14:paraId="7EE8B8F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若将洋葱冷藏培养</w:t>
      </w:r>
      <w:r>
        <w:rPr>
          <w:rFonts w:ascii="Times New Roman"/>
          <w:color w:val="000000"/>
          <w:spacing w:val="0"/>
          <w:sz w:val="21"/>
        </w:rPr>
        <w:t xml:space="preserve"> 48</w:t>
      </w:r>
      <w:r>
        <w:rPr>
          <w:rFonts w:ascii="Dotum" w:hAnsi="Dotum" w:cs="Dotum"/>
          <w:color w:val="000000"/>
          <w:spacing w:val="-43"/>
          <w:sz w:val="21"/>
        </w:rPr>
        <w:t>∼</w:t>
      </w:r>
      <w:r>
        <w:rPr>
          <w:rFonts w:ascii="Times New Roman"/>
          <w:color w:val="000000"/>
          <w:spacing w:val="0"/>
          <w:sz w:val="21"/>
        </w:rPr>
        <w:t>72 h</w:t>
      </w:r>
      <w:r>
        <w:rPr>
          <w:rFonts w:ascii="宋体" w:hAnsi="宋体" w:cs="宋体"/>
          <w:color w:val="000000"/>
          <w:spacing w:val="0"/>
          <w:sz w:val="21"/>
        </w:rPr>
        <w:t>，视野中大多数细胞染色体数目加倍</w:t>
      </w:r>
    </w:p>
    <w:p w14:paraId="37D00A2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10.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四川主产的浓香型白酒畅销全国。其发酵用的酒曲富含霉菌、酵母菌、细菌等微生物。从酒曲中分离纯</w:t>
      </w:r>
    </w:p>
    <w:p w14:paraId="33A8D26F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化的某些酵母菌可利用其产生的乙醇合成低水溶性的乙酸乙酯，催化该反应的酶也能催化酯分解。下列叙</w:t>
      </w:r>
    </w:p>
    <w:p w14:paraId="245FB1CE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述正确的是（</w:t>
      </w:r>
      <w:r>
        <w:rPr>
          <w:rFonts w:ascii="Times New Roman"/>
          <w:color w:val="000000"/>
          <w:spacing w:val="4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02A6906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向培养基中加入青霉素，可有效抑制细菌和霉菌的生长</w:t>
      </w:r>
    </w:p>
    <w:p w14:paraId="53C61C9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向培养基中添加乙酸乙酯，可根据透明圈筛选产酯酵母</w:t>
      </w:r>
    </w:p>
    <w:p w14:paraId="6FB09D3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酵母菌被破碎处理成匀浆后，不能催化乙酸乙酯的合成</w:t>
      </w:r>
    </w:p>
    <w:p w14:paraId="08A755C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与无氧相比，有氧条件培养酵母菌能产生更多乙酸乙酯</w:t>
      </w:r>
    </w:p>
    <w:p w14:paraId="3549BF7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4"/>
          <w:sz w:val="21"/>
        </w:rPr>
        <w:t>11.</w:t>
      </w:r>
      <w:r>
        <w:rPr>
          <w:rFonts w:ascii="Times New Roman"/>
          <w:color w:val="000000"/>
          <w:spacing w:val="5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鼠兔和牦牛是青藏高原重要的草食动物，分析粪便中叶绿体</w:t>
      </w:r>
      <w:r>
        <w:rPr>
          <w:rFonts w:ascii="Times New Roman"/>
          <w:color w:val="000000"/>
          <w:spacing w:val="0"/>
          <w:sz w:val="21"/>
        </w:rPr>
        <w:t xml:space="preserve"> rbcL </w:t>
      </w:r>
      <w:r>
        <w:rPr>
          <w:rFonts w:ascii="宋体" w:hAnsi="宋体" w:cs="宋体"/>
          <w:color w:val="000000"/>
          <w:spacing w:val="0"/>
          <w:sz w:val="21"/>
        </w:rPr>
        <w:t>基因序列可判定它们的食物组成。不</w:t>
      </w:r>
    </w:p>
    <w:p w14:paraId="4827697A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同牦牛放牧强度下，两者的食物重叠度指数和牦牛食物中优势禾草占比如图。下列叙述正确的是（</w:t>
      </w:r>
      <w:r>
        <w:rPr>
          <w:rFonts w:ascii="Times New Roman"/>
          <w:color w:val="000000"/>
          <w:spacing w:val="4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19C7156">
      <w:pPr>
        <w:spacing w:before="429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牦牛与鼠兔食物种类的判定利用了染色体上遗传信息的特异性</w:t>
      </w:r>
    </w:p>
    <w:p w14:paraId="2ACCFE8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放牧强度在</w:t>
      </w:r>
      <w:r>
        <w:rPr>
          <w:rFonts w:ascii="Times New Roman"/>
          <w:color w:val="000000"/>
          <w:spacing w:val="0"/>
          <w:sz w:val="21"/>
        </w:rPr>
        <w:t xml:space="preserve"> a</w:t>
      </w:r>
      <w:r>
        <w:rPr>
          <w:rFonts w:ascii="Dotum" w:hAnsi="Dotum" w:cs="Dotum"/>
          <w:color w:val="000000"/>
          <w:spacing w:val="-43"/>
          <w:sz w:val="21"/>
        </w:rPr>
        <w:t>∼</w:t>
      </w:r>
      <w:r>
        <w:rPr>
          <w:rFonts w:ascii="Times New Roman"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时，鼠兔食物中优势禾草的占比随放牧强度增大而降低</w:t>
      </w:r>
    </w:p>
    <w:p w14:paraId="7F28884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放牧强度为</w:t>
      </w:r>
      <w:r>
        <w:rPr>
          <w:rFonts w:ascii="Times New Roman"/>
          <w:color w:val="000000"/>
          <w:spacing w:val="0"/>
          <w:sz w:val="21"/>
        </w:rPr>
        <w:t xml:space="preserve"> a </w:t>
      </w:r>
      <w:r>
        <w:rPr>
          <w:rFonts w:ascii="宋体" w:hAnsi="宋体" w:cs="宋体"/>
          <w:color w:val="000000"/>
          <w:spacing w:val="0"/>
          <w:sz w:val="21"/>
        </w:rPr>
        <w:t>时，牦牛与鼠兔的食物重叠度高，二者竞争激烈</w:t>
      </w:r>
    </w:p>
    <w:p w14:paraId="2EEE04FA">
      <w:pPr>
        <w:spacing w:before="10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3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E4056D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DABB40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02DEF8E5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2" o:spid="_x0000_s1038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13" o:spid="_x0000_s1039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14" o:spid="_x0000_s1040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pict>
          <v:shape id="_x000015" o:spid="_x0000_s1041" o:spt="75" type="#_x0000_t75" style="position:absolute;left:0pt;margin-left:53pt;margin-top:161.85pt;height:167.1pt;width:287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8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放牧强度高于</w:t>
      </w:r>
      <w:r>
        <w:rPr>
          <w:rFonts w:ascii="Times New Roman"/>
          <w:color w:val="000000"/>
          <w:spacing w:val="0"/>
          <w:sz w:val="21"/>
        </w:rPr>
        <w:t xml:space="preserve"> b </w:t>
      </w:r>
      <w:r>
        <w:rPr>
          <w:rFonts w:ascii="宋体" w:hAnsi="宋体" w:cs="宋体"/>
          <w:color w:val="000000"/>
          <w:spacing w:val="0"/>
          <w:sz w:val="21"/>
        </w:rPr>
        <w:t>时，牦牛与鼠兔食物生态位分化程度随放牧强度增大而升高</w:t>
      </w:r>
    </w:p>
    <w:p w14:paraId="6C1A572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控制猫毛色的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w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基因中插入不同长度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DNA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片段形成两个新的等位基因，导致猫出现三种毛色。用不同</w:t>
      </w:r>
    </w:p>
    <w:p w14:paraId="438391BF">
      <w:pPr>
        <w:spacing w:before="212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毛色的猫进行杂交实验，提取Ⅱ</w:t>
      </w:r>
      <w:r>
        <w:rPr>
          <w:rFonts w:ascii="Times New Roman"/>
          <w:color w:val="000000"/>
          <w:spacing w:val="-2"/>
          <w:sz w:val="21"/>
          <w:vertAlign w:val="subscript"/>
        </w:rPr>
        <w:t>1</w:t>
      </w:r>
      <w:r>
        <w:rPr>
          <w:rFonts w:ascii="Dotum" w:hAnsi="Dotum" w:cs="Dotum"/>
          <w:color w:val="000000"/>
          <w:spacing w:val="-43"/>
          <w:sz w:val="21"/>
        </w:rPr>
        <w:t>∼</w:t>
      </w:r>
      <w:r>
        <w:rPr>
          <w:rFonts w:ascii="宋体" w:hAnsi="宋体" w:cs="宋体"/>
          <w:color w:val="000000"/>
          <w:spacing w:val="0"/>
          <w:sz w:val="21"/>
        </w:rPr>
        <w:t>Ⅱ</w:t>
      </w:r>
      <w:r>
        <w:rPr>
          <w:rFonts w:ascii="Times New Roman"/>
          <w:color w:val="000000"/>
          <w:spacing w:val="0"/>
          <w:sz w:val="21"/>
          <w:vertAlign w:val="subscript"/>
        </w:rPr>
        <w:t>4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</w:t>
      </w:r>
      <w:r>
        <w:rPr>
          <w:rFonts w:ascii="Times New Roman"/>
          <w:color w:val="000000"/>
          <w:spacing w:val="0"/>
          <w:sz w:val="21"/>
        </w:rPr>
        <w:t xml:space="preserve"> DNA</w:t>
      </w:r>
      <w:r>
        <w:rPr>
          <w:rFonts w:ascii="宋体" w:hAnsi="宋体" w:cs="宋体"/>
          <w:color w:val="000000"/>
          <w:spacing w:val="0"/>
          <w:sz w:val="21"/>
        </w:rPr>
        <w:t>，分别对插入片段进行扩增和电泳，相关信息如图。下列推</w:t>
      </w:r>
    </w:p>
    <w:p w14:paraId="1595C4A7">
      <w:pPr>
        <w:spacing w:before="22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断正确的是（</w:t>
      </w:r>
      <w:r>
        <w:rPr>
          <w:rFonts w:ascii="Times New Roman"/>
          <w:color w:val="000000"/>
          <w:spacing w:val="4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324F85A">
      <w:pPr>
        <w:spacing w:before="367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w </w:t>
      </w:r>
      <w:r>
        <w:rPr>
          <w:rFonts w:ascii="宋体" w:hAnsi="宋体" w:cs="宋体"/>
          <w:color w:val="000000"/>
          <w:spacing w:val="0"/>
          <w:sz w:val="21"/>
        </w:rPr>
        <w:t>基因位于</w:t>
      </w:r>
      <w:r>
        <w:rPr>
          <w:rFonts w:ascii="Times New Roman"/>
          <w:color w:val="000000"/>
          <w:spacing w:val="0"/>
          <w:sz w:val="21"/>
        </w:rPr>
        <w:t xml:space="preserve"> X </w:t>
      </w:r>
      <w:r>
        <w:rPr>
          <w:rFonts w:ascii="宋体" w:hAnsi="宋体" w:cs="宋体"/>
          <w:color w:val="000000"/>
          <w:spacing w:val="0"/>
          <w:sz w:val="21"/>
        </w:rPr>
        <w:t>染色体上</w:t>
      </w:r>
    </w:p>
    <w:p w14:paraId="4F591FBB">
      <w:pPr>
        <w:spacing w:before="212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 w</w:t>
      </w:r>
      <w:r>
        <w:rPr>
          <w:rFonts w:ascii="Times New Roman"/>
          <w:color w:val="000000"/>
          <w:spacing w:val="0"/>
          <w:sz w:val="21"/>
          <w:vertAlign w:val="subscript"/>
        </w:rPr>
        <w:t>1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基因对</w:t>
      </w:r>
      <w:r>
        <w:rPr>
          <w:rFonts w:ascii="Times New Roman"/>
          <w:color w:val="000000"/>
          <w:spacing w:val="0"/>
          <w:sz w:val="21"/>
        </w:rPr>
        <w:t xml:space="preserve"> w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基因为隐性</w:t>
      </w:r>
    </w:p>
    <w:p w14:paraId="4A7D9821">
      <w:pPr>
        <w:spacing w:before="199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Ⅱ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与Ⅰ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基因型相同的概率为</w:t>
      </w:r>
      <w:r>
        <w:rPr>
          <w:rFonts w:ascii="Times New Roman"/>
          <w:color w:val="000000"/>
          <w:spacing w:val="0"/>
          <w:sz w:val="21"/>
        </w:rPr>
        <w:t xml:space="preserve"> 1/2</w:t>
      </w:r>
    </w:p>
    <w:p w14:paraId="4648B85A">
      <w:pPr>
        <w:spacing w:before="199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若Ⅱ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与Ⅱ</w:t>
      </w:r>
      <w:r>
        <w:rPr>
          <w:rFonts w:ascii="Times New Roman"/>
          <w:color w:val="000000"/>
          <w:spacing w:val="0"/>
          <w:sz w:val="21"/>
          <w:vertAlign w:val="subscript"/>
        </w:rPr>
        <w:t>3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交配，生出棕色猫的概率为</w:t>
      </w:r>
      <w:r>
        <w:rPr>
          <w:rFonts w:ascii="Times New Roman"/>
          <w:color w:val="000000"/>
          <w:spacing w:val="0"/>
          <w:sz w:val="21"/>
        </w:rPr>
        <w:t xml:space="preserve"> 1/4</w:t>
      </w:r>
    </w:p>
    <w:p w14:paraId="49A3E834">
      <w:pPr>
        <w:spacing w:before="21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番茄红素含量是评价番茄果实成熟的关键指标，</w:t>
      </w:r>
      <w:r>
        <w:rPr>
          <w:rFonts w:ascii="Times New Roman"/>
          <w:color w:val="000000"/>
          <w:spacing w:val="0"/>
          <w:sz w:val="21"/>
        </w:rPr>
        <w:t>PSY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是其合成的关键酶。</w:t>
      </w:r>
      <w:r>
        <w:rPr>
          <w:rFonts w:ascii="Times New Roman"/>
          <w:color w:val="000000"/>
          <w:spacing w:val="0"/>
          <w:sz w:val="21"/>
        </w:rPr>
        <w:t>PIF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因子在黑暗中积累，光照</w:t>
      </w:r>
    </w:p>
    <w:p w14:paraId="1584C92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下因与光敏色素结合而被诱导降解。光照下茉莉酸通过诱导</w:t>
      </w:r>
      <w:r>
        <w:rPr>
          <w:rFonts w:ascii="Times New Roman"/>
          <w:color w:val="000000"/>
          <w:spacing w:val="0"/>
          <w:sz w:val="21"/>
        </w:rPr>
        <w:t xml:space="preserve"> MYC </w:t>
      </w:r>
      <w:r>
        <w:rPr>
          <w:rFonts w:ascii="宋体" w:hAnsi="宋体" w:cs="宋体"/>
          <w:color w:val="000000"/>
          <w:spacing w:val="0"/>
          <w:sz w:val="21"/>
        </w:rPr>
        <w:t>积累抑制</w:t>
      </w:r>
      <w:r>
        <w:rPr>
          <w:rFonts w:ascii="Times New Roman"/>
          <w:color w:val="000000"/>
          <w:spacing w:val="0"/>
          <w:sz w:val="21"/>
        </w:rPr>
        <w:t xml:space="preserve"> PIF </w:t>
      </w:r>
      <w:r>
        <w:rPr>
          <w:rFonts w:ascii="宋体" w:hAnsi="宋体" w:cs="宋体"/>
          <w:color w:val="000000"/>
          <w:spacing w:val="0"/>
          <w:sz w:val="21"/>
        </w:rPr>
        <w:t>基因表达，解除对</w:t>
      </w:r>
      <w:r>
        <w:rPr>
          <w:rFonts w:ascii="Times New Roman"/>
          <w:color w:val="000000"/>
          <w:spacing w:val="0"/>
          <w:sz w:val="21"/>
        </w:rPr>
        <w:t xml:space="preserve"> PSY </w:t>
      </w:r>
      <w:r>
        <w:rPr>
          <w:rFonts w:ascii="宋体" w:hAnsi="宋体" w:cs="宋体"/>
          <w:color w:val="000000"/>
          <w:spacing w:val="0"/>
          <w:sz w:val="21"/>
        </w:rPr>
        <w:t>基</w:t>
      </w:r>
    </w:p>
    <w:p w14:paraId="79DC99C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因转录的抑制。黑暗下茉莉酸诱导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color w:val="000000"/>
          <w:spacing w:val="-13"/>
          <w:sz w:val="21"/>
        </w:rPr>
        <w:t>NATA</w:t>
      </w:r>
      <w:r>
        <w:rPr>
          <w:rFonts w:ascii="Times New Roman"/>
          <w:color w:val="000000"/>
          <w:spacing w:val="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积累，使</w:t>
      </w:r>
      <w:r>
        <w:rPr>
          <w:rFonts w:ascii="Times New Roman"/>
          <w:color w:val="000000"/>
          <w:spacing w:val="0"/>
          <w:sz w:val="21"/>
        </w:rPr>
        <w:t xml:space="preserve"> PIF </w:t>
      </w:r>
      <w:r>
        <w:rPr>
          <w:rFonts w:ascii="宋体" w:hAnsi="宋体" w:cs="宋体"/>
          <w:color w:val="000000"/>
          <w:spacing w:val="0"/>
          <w:sz w:val="21"/>
        </w:rPr>
        <w:t>乙酰化后活性增强。下列叙述错误的是（</w:t>
      </w:r>
      <w:r>
        <w:rPr>
          <w:rFonts w:ascii="Times New Roman"/>
          <w:color w:val="000000"/>
          <w:spacing w:val="4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880DE8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光照下光敏色素被激活，可使</w:t>
      </w:r>
      <w:r>
        <w:rPr>
          <w:rFonts w:ascii="Times New Roman"/>
          <w:color w:val="000000"/>
          <w:spacing w:val="0"/>
          <w:sz w:val="21"/>
        </w:rPr>
        <w:t xml:space="preserve"> PSY </w:t>
      </w:r>
      <w:r>
        <w:rPr>
          <w:rFonts w:ascii="宋体" w:hAnsi="宋体" w:cs="宋体"/>
          <w:color w:val="000000"/>
          <w:spacing w:val="0"/>
          <w:sz w:val="21"/>
        </w:rPr>
        <w:t>基因表达量增加</w:t>
      </w:r>
    </w:p>
    <w:p w14:paraId="6A35D85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敲除</w:t>
      </w:r>
      <w:r>
        <w:rPr>
          <w:rFonts w:ascii="Times New Roman"/>
          <w:color w:val="000000"/>
          <w:spacing w:val="0"/>
          <w:sz w:val="21"/>
        </w:rPr>
        <w:t xml:space="preserve"> PIF </w:t>
      </w:r>
      <w:r>
        <w:rPr>
          <w:rFonts w:ascii="宋体" w:hAnsi="宋体" w:cs="宋体"/>
          <w:color w:val="000000"/>
          <w:spacing w:val="0"/>
          <w:sz w:val="21"/>
        </w:rPr>
        <w:t>基因可以促进果实中番茄红素的合成</w:t>
      </w:r>
    </w:p>
    <w:p w14:paraId="58CBE06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敲除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color w:val="000000"/>
          <w:spacing w:val="-13"/>
          <w:sz w:val="21"/>
        </w:rPr>
        <w:t>NATA</w:t>
      </w:r>
      <w:r>
        <w:rPr>
          <w:rFonts w:ascii="Times New Roman"/>
          <w:color w:val="000000"/>
          <w:spacing w:val="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基因可延缓果实成熟，有利于番茄果实存储和运输</w:t>
      </w:r>
    </w:p>
    <w:p w14:paraId="0DBF4E3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茉莉酸可用于促进番茄红素合成，也可用于延缓番茄果实成熟</w:t>
      </w:r>
    </w:p>
    <w:p w14:paraId="127D931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瘦素是由脂肪细胞分泌的激素，禁食后其分泌减少。皮质醇是由肾上腺皮质分泌的升高血糖的激素，主</w:t>
      </w:r>
    </w:p>
    <w:p w14:paraId="0CF1D9D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要受下丘脑</w:t>
      </w:r>
      <w:r>
        <w:rPr>
          <w:rFonts w:ascii="Times New Roman" w:hAnsi="Times New Roman" w:cs="Times New Roman"/>
          <w:color w:val="000000"/>
          <w:spacing w:val="0"/>
          <w:sz w:val="21"/>
        </w:rPr>
        <w:t>—</w:t>
      </w:r>
      <w:r>
        <w:rPr>
          <w:rFonts w:ascii="宋体" w:hAnsi="宋体" w:cs="宋体"/>
          <w:color w:val="000000"/>
          <w:spacing w:val="0"/>
          <w:sz w:val="21"/>
        </w:rPr>
        <w:t>腺垂体</w:t>
      </w:r>
      <w:r>
        <w:rPr>
          <w:rFonts w:ascii="Times New Roman" w:hAnsi="Times New Roman" w:cs="Times New Roman"/>
          <w:color w:val="000000"/>
          <w:spacing w:val="0"/>
          <w:sz w:val="21"/>
        </w:rPr>
        <w:t>—</w:t>
      </w:r>
      <w:r>
        <w:rPr>
          <w:rFonts w:ascii="宋体" w:hAnsi="宋体" w:cs="宋体"/>
          <w:color w:val="000000"/>
          <w:spacing w:val="-4"/>
          <w:sz w:val="21"/>
        </w:rPr>
        <w:t>肾上腺皮质（</w:t>
      </w:r>
      <w:r>
        <w:rPr>
          <w:rFonts w:ascii="Times New Roman"/>
          <w:color w:val="000000"/>
          <w:spacing w:val="-6"/>
          <w:sz w:val="21"/>
        </w:rPr>
        <w:t>HPA</w:t>
      </w:r>
      <w:r>
        <w:rPr>
          <w:rFonts w:ascii="宋体" w:hAnsi="宋体" w:cs="宋体"/>
          <w:color w:val="000000"/>
          <w:spacing w:val="-3"/>
          <w:sz w:val="21"/>
        </w:rPr>
        <w:t>）轴调节。有人研究了禁食条件下瘦素对小鼠血糖水平的影响，结</w:t>
      </w:r>
    </w:p>
    <w:p w14:paraId="47147B1C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果如图。下列推断合理的是（</w:t>
      </w:r>
      <w:r>
        <w:rPr>
          <w:rFonts w:ascii="Times New Roman"/>
          <w:color w:val="000000"/>
          <w:spacing w:val="4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51A4508">
      <w:pPr>
        <w:spacing w:before="2305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0BC7A5D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8A04AB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C8DD45E">
      <w:pPr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04F993D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2F3C036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6" o:spid="_x0000_s1042" o:spt="75" type="#_x0000_t75" style="position:absolute;left:0pt;margin-left:53pt;margin-top:68.8pt;height:213.6pt;width:414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9" o:title=""/>
            <o:lock v:ext="edit" aspectratio="t"/>
          </v:shape>
        </w:pict>
      </w:r>
      <w:r>
        <w:pict>
          <v:shape id="_x000017" o:spid="_x0000_s1043" o:spt="75" type="#_x0000_t75" style="position:absolute;left:0pt;margin-left:53pt;margin-top:453pt;height:131.85pt;width:280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0" o:title=""/>
            <o:lock v:ext="edit" aspectratio="t"/>
          </v:shape>
        </w:pict>
      </w:r>
      <w:r>
        <w:pict>
          <v:shape id="_x000018" o:spid="_x0000_s1044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Times New Roman"/>
          <w:color w:val="000000"/>
          <w:spacing w:val="-10"/>
          <w:sz w:val="21"/>
        </w:rPr>
        <w:t>HPA</w:t>
      </w:r>
      <w:r>
        <w:rPr>
          <w:rFonts w:ascii="Times New Roman"/>
          <w:color w:val="000000"/>
          <w:spacing w:val="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轴活动存在分级和反馈调节，增强该轴活动可降低血糖</w:t>
      </w:r>
    </w:p>
    <w:p w14:paraId="4DCF499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可通过向饥饿小鼠注射瘦素，来维持小鼠的正常血糖水平</w:t>
      </w:r>
    </w:p>
    <w:p w14:paraId="71917A6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C. POMC </w:t>
      </w:r>
      <w:r>
        <w:rPr>
          <w:rFonts w:ascii="宋体" w:hAnsi="宋体" w:cs="宋体"/>
          <w:color w:val="000000"/>
          <w:spacing w:val="0"/>
          <w:sz w:val="21"/>
        </w:rPr>
        <w:t>神经元受到瘦素的调节后，增强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color w:val="000000"/>
          <w:spacing w:val="-10"/>
          <w:sz w:val="21"/>
        </w:rPr>
        <w:t>HPA</w:t>
      </w:r>
      <w:r>
        <w:rPr>
          <w:rFonts w:ascii="Times New Roman"/>
          <w:color w:val="000000"/>
          <w:spacing w:val="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轴的活动</w:t>
      </w:r>
    </w:p>
    <w:p w14:paraId="4878CB7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瘦素与</w:t>
      </w:r>
      <w:r>
        <w:rPr>
          <w:rFonts w:ascii="Times New Roman"/>
          <w:color w:val="000000"/>
          <w:spacing w:val="0"/>
          <w:sz w:val="21"/>
        </w:rPr>
        <w:t xml:space="preserve"> POMC </w:t>
      </w:r>
      <w:r>
        <w:rPr>
          <w:rFonts w:ascii="宋体" w:hAnsi="宋体" w:cs="宋体"/>
          <w:color w:val="000000"/>
          <w:spacing w:val="0"/>
          <w:sz w:val="21"/>
        </w:rPr>
        <w:t>神经元上相应受体结合，抑制瘦素分泌</w:t>
      </w:r>
    </w:p>
    <w:p w14:paraId="2ED0214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某种鱼在初次性成熟后均为雌性，继续生长到一定大小后转变为雄性。雄鱼之间会争夺领地，体型越大</w:t>
      </w:r>
    </w:p>
    <w:p w14:paraId="55DF1BA2">
      <w:pPr>
        <w:spacing w:before="212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繁殖成功率越高。有人研究了</w:t>
      </w:r>
      <w:r>
        <w:rPr>
          <w:rFonts w:ascii="Times New Roman"/>
          <w:color w:val="000000"/>
          <w:spacing w:val="0"/>
          <w:sz w:val="21"/>
        </w:rPr>
        <w:t xml:space="preserve"> 3 </w:t>
      </w:r>
      <w:r>
        <w:rPr>
          <w:rFonts w:ascii="宋体" w:hAnsi="宋体" w:cs="宋体"/>
          <w:color w:val="000000"/>
          <w:spacing w:val="0"/>
          <w:sz w:val="21"/>
        </w:rPr>
        <w:t>个不同生境的鱼群在不同捕获压力下，</w:t>
      </w:r>
      <w:r>
        <w:rPr>
          <w:rFonts w:ascii="Times New Roman"/>
          <w:color w:val="000000"/>
          <w:spacing w:val="0"/>
          <w:sz w:val="21"/>
        </w:rPr>
        <w:t>t</w:t>
      </w:r>
      <w:r>
        <w:rPr>
          <w:rFonts w:ascii="Times New Roman"/>
          <w:color w:val="000000"/>
          <w:spacing w:val="0"/>
          <w:sz w:val="21"/>
          <w:vertAlign w:val="subscript"/>
        </w:rPr>
        <w:t>1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到</w:t>
      </w:r>
      <w:r>
        <w:rPr>
          <w:rFonts w:ascii="Times New Roman"/>
          <w:color w:val="000000"/>
          <w:spacing w:val="0"/>
          <w:sz w:val="21"/>
        </w:rPr>
        <w:t xml:space="preserve"> t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这</w:t>
      </w:r>
      <w:r>
        <w:rPr>
          <w:rFonts w:ascii="Times New Roman"/>
          <w:color w:val="000000"/>
          <w:spacing w:val="0"/>
          <w:sz w:val="21"/>
        </w:rPr>
        <w:t xml:space="preserve"> 30 </w:t>
      </w:r>
      <w:r>
        <w:rPr>
          <w:rFonts w:ascii="宋体" w:hAnsi="宋体" w:cs="宋体"/>
          <w:color w:val="000000"/>
          <w:spacing w:val="0"/>
          <w:sz w:val="21"/>
        </w:rPr>
        <w:t>年间的变化（</w:t>
      </w:r>
      <w:r>
        <w:rPr>
          <w:rFonts w:ascii="Times New Roman"/>
          <w:color w:val="000000"/>
          <w:spacing w:val="0"/>
          <w:sz w:val="21"/>
        </w:rPr>
        <w:t>t</w:t>
      </w:r>
      <w:r>
        <w:rPr>
          <w:rFonts w:ascii="Times New Roman"/>
          <w:color w:val="000000"/>
          <w:spacing w:val="0"/>
          <w:sz w:val="21"/>
          <w:vertAlign w:val="subscript"/>
        </w:rPr>
        <w:t>1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及之前</w:t>
      </w:r>
    </w:p>
    <w:p w14:paraId="0B21FDE0">
      <w:pPr>
        <w:spacing w:before="22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4"/>
          <w:sz w:val="21"/>
        </w:rPr>
        <w:t>未受人为干扰），结果如图。下列推断不合理的是（</w:t>
      </w:r>
      <w:r>
        <w:rPr>
          <w:rFonts w:ascii="Times New Roman"/>
          <w:color w:val="000000"/>
          <w:spacing w:val="47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D17AA4C">
      <w:pPr>
        <w:spacing w:before="3033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0"/>
          <w:sz w:val="21"/>
        </w:rPr>
        <w:t xml:space="preserve"> t</w:t>
      </w:r>
      <w:r>
        <w:rPr>
          <w:rFonts w:ascii="Times New Roman"/>
          <w:color w:val="000000"/>
          <w:spacing w:val="0"/>
          <w:sz w:val="21"/>
          <w:vertAlign w:val="subscript"/>
        </w:rPr>
        <w:t>1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时刻相比，</w:t>
      </w:r>
      <w:r>
        <w:rPr>
          <w:rFonts w:ascii="Times New Roman"/>
          <w:color w:val="000000"/>
          <w:spacing w:val="0"/>
          <w:sz w:val="21"/>
        </w:rPr>
        <w:t>t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时刻乙岛和丙岛鱼群中的雌性比例均上升</w:t>
      </w:r>
    </w:p>
    <w:p w14:paraId="02E8CF6E">
      <w:pPr>
        <w:spacing w:before="21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重度商业捕捞后，丙岛鱼群世代之间的繁殖间隔缩短</w:t>
      </w:r>
    </w:p>
    <w:p w14:paraId="4F86DA0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垂钓使乙岛鱼群变性年龄提前，体现了生物对环境压力的适应</w:t>
      </w:r>
    </w:p>
    <w:p w14:paraId="37B8D71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长期垂钓使乙岛鱼群年龄结构由增长型转变为衰退型</w:t>
      </w:r>
    </w:p>
    <w:p w14:paraId="5E8F9000">
      <w:pPr>
        <w:spacing w:before="209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二、非选择题：本题共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3"/>
          <w:sz w:val="24"/>
        </w:rPr>
        <w:t>小题，共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55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分。</w:t>
      </w:r>
    </w:p>
    <w:p w14:paraId="3368766F">
      <w:pPr>
        <w:spacing w:before="20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农光互补能在同一片土地上兼顾太阳能光伏发电与农业生产，有利于推动资源综合利用。在某干旱农业</w:t>
      </w:r>
    </w:p>
    <w:p w14:paraId="543ACC3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区农光互补系统的光伏板下，光照强度最大值降低近</w:t>
      </w:r>
      <w:r>
        <w:rPr>
          <w:rFonts w:ascii="Times New Roman"/>
          <w:color w:val="000000"/>
          <w:spacing w:val="0"/>
          <w:sz w:val="21"/>
        </w:rPr>
        <w:t xml:space="preserve"> 75%</w:t>
      </w:r>
      <w:r>
        <w:rPr>
          <w:rFonts w:ascii="宋体" w:hAnsi="宋体" w:cs="宋体"/>
          <w:color w:val="000000"/>
          <w:spacing w:val="0"/>
          <w:sz w:val="21"/>
        </w:rPr>
        <w:t>，研究人员测定了该系统对某作物净光合速率的</w:t>
      </w:r>
    </w:p>
    <w:p w14:paraId="175DCA71">
      <w:pPr>
        <w:spacing w:before="42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4A212E7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050B93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2F3191B2">
      <w:pPr>
        <w:sectPr>
          <w:pgSz w:w="11900" w:h="16840"/>
          <w:pgMar w:top="5811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2EDF55F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2CD194A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9" o:spid="_x0000_s1045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pict>
          <v:shape id="_x000020" o:spid="_x0000_s1046" o:spt="75" type="#_x0000_t75" style="position:absolute;left:0pt;margin-left:53pt;margin-top:323.2pt;height:251.1pt;width:363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1" o:title=""/>
            <o:lock v:ext="edit" aspectratio="t"/>
          </v:shape>
        </w:pict>
      </w:r>
      <w:r>
        <w:pict>
          <v:shape id="_x000021" o:spid="_x0000_s1047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pict>
          <v:shape id="_x000022" o:spid="_x0000_s1048" o:spt="75" type="#_x0000_t75" style="position:absolute;left:0pt;margin-left:53pt;margin-top:95.05pt;height:223.35pt;width:338.8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2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影响，结果如图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。回答下列问题。</w:t>
      </w:r>
    </w:p>
    <w:p w14:paraId="26ACAB41">
      <w:pPr>
        <w:spacing w:before="990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）光合作用与农作物的产量联系密切，</w:t>
      </w:r>
      <w:r>
        <w:rPr>
          <w:rFonts w:ascii="Times New Roman"/>
          <w:color w:val="000000"/>
          <w:spacing w:val="0"/>
          <w:sz w:val="21"/>
        </w:rPr>
        <w:t>_________________</w:t>
      </w:r>
      <w:r>
        <w:rPr>
          <w:rFonts w:ascii="宋体" w:hAnsi="宋体" w:cs="宋体"/>
          <w:color w:val="000000"/>
          <w:spacing w:val="0"/>
          <w:sz w:val="21"/>
        </w:rPr>
        <w:t>作为直接原料参与植物的光合作用。</w:t>
      </w:r>
    </w:p>
    <w:p w14:paraId="0D794A2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-2"/>
          <w:sz w:val="21"/>
        </w:rPr>
        <w:t>11:00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到</w:t>
      </w:r>
      <w:r>
        <w:rPr>
          <w:rFonts w:ascii="Times New Roman"/>
          <w:color w:val="000000"/>
          <w:spacing w:val="0"/>
          <w:sz w:val="21"/>
        </w:rPr>
        <w:t xml:space="preserve"> 15:00 </w:t>
      </w:r>
      <w:r>
        <w:rPr>
          <w:rFonts w:ascii="宋体" w:hAnsi="宋体" w:cs="宋体"/>
          <w:color w:val="000000"/>
          <w:spacing w:val="0"/>
          <w:sz w:val="21"/>
        </w:rPr>
        <w:t>期间，与全日照相比，农光互补系统下该作物的净光合速率更高，原因是</w:t>
      </w:r>
    </w:p>
    <w:p w14:paraId="228AF19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____________________________________________________________________________________________</w:t>
      </w:r>
    </w:p>
    <w:p w14:paraId="4B41912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____________________________________________________________________________________________</w:t>
      </w:r>
    </w:p>
    <w:p w14:paraId="70D1933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___________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3C0EE2F8">
      <w:pPr>
        <w:spacing w:before="212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）农光互补系统下，该作物全天光合作用吸收</w:t>
      </w:r>
      <w:r>
        <w:rPr>
          <w:rFonts w:ascii="Times New Roman"/>
          <w:color w:val="000000"/>
          <w:spacing w:val="0"/>
          <w:sz w:val="21"/>
        </w:rPr>
        <w:t xml:space="preserve"> CO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总量较全日照下</w:t>
      </w:r>
      <w:r>
        <w:rPr>
          <w:rFonts w:ascii="Times New Roman"/>
          <w:color w:val="000000"/>
          <w:spacing w:val="0"/>
          <w:sz w:val="21"/>
        </w:rPr>
        <w:t>__________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D50F80C">
      <w:pPr>
        <w:spacing w:before="21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）正常灌溉是全日照下的最适灌溉。推测在农光互补系统中，适当减量灌溉更适合该作物生长，从而提</w:t>
      </w:r>
    </w:p>
    <w:p w14:paraId="0EED0C1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高产量。有人测量了不同处理下该作物的产量，正常灌溉组应为图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中的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组，请综合分析后，在</w:t>
      </w:r>
    </w:p>
    <w:p w14:paraId="6D740D48">
      <w:pPr>
        <w:spacing w:before="264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7696CCD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477142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0826EFFF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23" o:spid="_x0000_s1049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24" o:spid="_x0000_s1050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25" o:spid="_x0000_s1051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pict>
          <v:shape id="_x000026" o:spid="_x0000_s1052" o:spt="75" type="#_x0000_t75" style="position:absolute;left:0pt;margin-left:53pt;margin-top:138.6pt;height:213.6pt;width:242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3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图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方框内画出符合上述推测的实验结果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40F9EE9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优势树种四川红杉的更新对川西亚高山退化森林的修复非常关键。有人研究了施加菌剂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MF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对四川红杉</w:t>
      </w:r>
    </w:p>
    <w:p w14:paraId="528C60C3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在草地和灌丛两类退化生境定居的影响，相关指标的结果如图。回答下列问题。</w:t>
      </w:r>
    </w:p>
    <w:p w14:paraId="0F876860">
      <w:pPr>
        <w:spacing w:before="460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）四川正全面推进“天府森林四库建设”，森林生态系统修复需同时兼顾水库、钱库、粮库和碳库建设，</w:t>
      </w:r>
    </w:p>
    <w:p w14:paraId="2AC5BD3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这体现了生态工程的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原理。</w:t>
      </w:r>
    </w:p>
    <w:p w14:paraId="507428E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）不同生物适应的环境存在差异。与草地相比，灌丛有利于红杉种子的萌发和幼苗存活，结合图中数据</w:t>
      </w:r>
    </w:p>
    <w:p w14:paraId="5B24A84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推测原因是</w:t>
      </w:r>
      <w:r>
        <w:rPr>
          <w:rFonts w:ascii="Times New Roman"/>
          <w:color w:val="000000"/>
          <w:spacing w:val="0"/>
          <w:sz w:val="21"/>
        </w:rPr>
        <w:t>_________________________________________________________________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44F200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0"/>
          <w:sz w:val="21"/>
        </w:rPr>
        <w:t xml:space="preserve">MF </w:t>
      </w:r>
      <w:r>
        <w:rPr>
          <w:rFonts w:ascii="宋体" w:hAnsi="宋体" w:cs="宋体"/>
          <w:color w:val="000000"/>
          <w:spacing w:val="0"/>
          <w:sz w:val="21"/>
        </w:rPr>
        <w:t>由当地土壤分离的一种微生物制成，可增加土壤肥力。从生态安全角度分析，使用本地微生物可</w:t>
      </w:r>
    </w:p>
    <w:p w14:paraId="6140FBD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以</w:t>
      </w:r>
      <w:r>
        <w:rPr>
          <w:rFonts w:ascii="Times New Roman"/>
          <w:color w:val="000000"/>
          <w:spacing w:val="0"/>
          <w:sz w:val="21"/>
        </w:rPr>
        <w:t>______________________</w:t>
      </w:r>
      <w:r>
        <w:rPr>
          <w:rFonts w:ascii="宋体" w:hAnsi="宋体" w:cs="宋体"/>
          <w:color w:val="000000"/>
          <w:spacing w:val="0"/>
          <w:sz w:val="21"/>
        </w:rPr>
        <w:t>。通常来说，施肥有利于植物生长，但施加</w:t>
      </w:r>
      <w:r>
        <w:rPr>
          <w:rFonts w:ascii="Times New Roman"/>
          <w:color w:val="000000"/>
          <w:spacing w:val="0"/>
          <w:sz w:val="21"/>
        </w:rPr>
        <w:t xml:space="preserve"> MF </w:t>
      </w:r>
      <w:r>
        <w:rPr>
          <w:rFonts w:ascii="宋体" w:hAnsi="宋体" w:cs="宋体"/>
          <w:color w:val="000000"/>
          <w:spacing w:val="0"/>
          <w:sz w:val="21"/>
        </w:rPr>
        <w:t>后，幼苗的存活率却下降，结</w:t>
      </w:r>
    </w:p>
    <w:p w14:paraId="33DCB792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合图中数据，从种间相互作用的角度解释该现象</w:t>
      </w:r>
    </w:p>
    <w:p w14:paraId="36858DA4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____________________________________________________________________________________________</w:t>
      </w:r>
    </w:p>
    <w:p w14:paraId="1E4F372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_____________________________________________________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14B19A4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）根据上述研究结果综合分析，在退化生境中播种红杉时，下列措施能有效促进生态系统修复的有</w:t>
      </w:r>
    </w:p>
    <w:p w14:paraId="7FBE2B0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-17"/>
          <w:sz w:val="21"/>
        </w:rPr>
        <w:t>（填序号）。</w:t>
      </w:r>
    </w:p>
    <w:p w14:paraId="4ED2B4D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①移除灌木②施加</w:t>
      </w:r>
      <w:r>
        <w:rPr>
          <w:rFonts w:ascii="Times New Roman"/>
          <w:color w:val="000000"/>
          <w:spacing w:val="0"/>
          <w:sz w:val="21"/>
        </w:rPr>
        <w:t xml:space="preserve"> MF</w:t>
      </w:r>
      <w:r>
        <w:rPr>
          <w:rFonts w:ascii="宋体" w:hAnsi="宋体" w:cs="宋体"/>
          <w:color w:val="000000"/>
          <w:spacing w:val="0"/>
          <w:sz w:val="21"/>
        </w:rPr>
        <w:t>③施加保水剂④去除落叶层⑤施用有机肥</w:t>
      </w:r>
    </w:p>
    <w:p w14:paraId="3EB7FA8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宋体" w:hAnsi="宋体" w:cs="宋体"/>
          <w:color w:val="000000"/>
          <w:spacing w:val="0"/>
          <w:sz w:val="21"/>
        </w:rPr>
        <w:t>）为评估修复后的森林是否有效提高了生态系统碳储量，除植物生物量外，还可监测的指标有</w:t>
      </w:r>
    </w:p>
    <w:p w14:paraId="23FDAAE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______________</w:t>
      </w:r>
      <w:r>
        <w:rPr>
          <w:rFonts w:ascii="宋体" w:hAnsi="宋体" w:cs="宋体"/>
          <w:color w:val="000000"/>
          <w:spacing w:val="0"/>
          <w:sz w:val="21"/>
        </w:rPr>
        <w:t>（写出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-21"/>
          <w:sz w:val="21"/>
        </w:rPr>
        <w:t>点即可）。</w:t>
      </w:r>
    </w:p>
    <w:p w14:paraId="2C0D08E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心衰患者心脏的射血能力降低。自主神经系统、炎症反应等参与心衰的发展。研究人员构建小鼠心衰模</w:t>
      </w:r>
    </w:p>
    <w:p w14:paraId="0F2D3C84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型以探究心衰的治疗方法，部分结果如下。回答下列问题。</w:t>
      </w:r>
    </w:p>
    <w:p w14:paraId="78FA94DD">
      <w:pPr>
        <w:spacing w:before="90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746FA9B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10176C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017C6D04">
      <w:pPr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1E97153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tbl>
      <w:tblPr>
        <w:tblStyle w:val="4"/>
        <w:tblW w:w="0" w:type="auto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2"/>
        <w:gridCol w:w="4521"/>
        <w:gridCol w:w="20"/>
        <w:gridCol w:w="1842"/>
      </w:tblGrid>
      <w:tr w14:paraId="2079D5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232" w:type="dxa"/>
            <w:noWrap w:val="0"/>
            <w:vAlign w:val="top"/>
          </w:tcPr>
          <w:p w14:paraId="4EA496EF">
            <w:pPr>
              <w:spacing w:before="0" w:after="0" w:line="0" w:lineRule="exact"/>
              <w:ind w:left="0" w:right="0" w:firstLine="0"/>
              <w:jc w:val="left"/>
            </w:pPr>
            <w:r>
              <w:pict>
                <v:shape id="_x000027" o:spid="_x0000_s1053" o:spt="75" type="#_x0000_t75" style="position:absolute;left:0pt;margin-left:158.05pt;margin-top:396.75pt;height:5.75pt;width:5pt;mso-position-horizontal-relative:page;mso-position-vertical-relative:page;z-index:-251657216;mso-width-relative:page;mso-height-relative:page;" filled="f" coordsize="21600,21600">
                  <v:path/>
                  <v:fill on="f" focussize="0,0"/>
                  <v:stroke/>
                  <v:imagedata r:id="rId12" o:title=""/>
                  <o:lock v:ext="edit" aspectratio="t"/>
                </v:shape>
              </w:pict>
            </w:r>
            <w:r>
              <w:pict>
                <v:shape id="_x000028" o:spid="_x0000_s1054" o:spt="75" type="#_x0000_t75" style="position:absolute;left:0pt;margin-left:62.75pt;margin-top:693.2pt;height:2.75pt;width:2.75pt;mso-position-horizontal-relative:page;mso-position-vertical-relative:page;z-index:-251657216;mso-width-relative:page;mso-height-relative:page;" filled="f" coordsize="21600,21600">
                  <v:path/>
                  <v:fill on="f" focussize="0,0"/>
                  <v:stroke/>
                  <v:imagedata r:id="rId14" o:title=""/>
                  <o:lock v:ext="edit" aspectratio="t"/>
                </v:shape>
              </w:pict>
            </w:r>
            <w:r>
              <w:pict>
                <v:shape id="_x000029" o:spid="_x0000_s1055" o:spt="75" type="#_x0000_t75" style="position:absolute;left:0pt;margin-left:-7pt;margin-top:-11.4pt;height:184.35pt;width:400.35pt;mso-position-horizontal-relative:page;mso-position-vertical-relative:page;z-index:-251657216;mso-width-relative:page;mso-height-relative:page;" filled="f" coordsize="21600,21600">
                  <v:path/>
                  <v:fill on="f" focussize="0,0"/>
                  <v:stroke/>
                  <v:imagedata r:id="rId24" o:title=""/>
                  <o:lock v:ext="edit" aspectratio="t"/>
                </v:shape>
              </w:pict>
            </w:r>
            <w:r>
              <w:pict>
                <v:shape id="_x000030" o:spid="_x0000_s1056" o:spt="75" type="#_x0000_t75" style="position:absolute;left:0pt;margin-left:-1pt;margin-top:175.35pt;height:149.85pt;width:143.8pt;mso-position-horizontal-relative:page;mso-position-vertical-relative:page;z-index:-251657216;mso-width-relative:page;mso-height-relative:page;" filled="f" coordsize="21600,21600">
                  <v:path/>
                  <v:fill on="f" focussize="0,0"/>
                  <v:stroke/>
                  <v:imagedata r:id="rId25" o:title=""/>
                  <o:lock v:ext="edit" aspectratio="t"/>
                </v:shape>
              </w:pict>
            </w:r>
          </w:p>
        </w:tc>
        <w:tc>
          <w:tcPr>
            <w:tcW w:w="4521" w:type="dxa"/>
            <w:noWrap w:val="0"/>
            <w:vAlign w:val="top"/>
          </w:tcPr>
          <w:p w14:paraId="22D31C28">
            <w:pPr>
              <w:spacing w:before="212" w:after="0" w:line="277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宋体" w:hAnsi="宋体" w:cs="宋体"/>
                <w:color w:val="000000"/>
                <w:spacing w:val="0"/>
                <w:sz w:val="21"/>
              </w:rPr>
              <w:t>小鼠</w:t>
            </w:r>
            <w:r>
              <w:rPr>
                <w:rFonts w:ascii="Times New Roman"/>
                <w:color w:val="000000"/>
                <w:spacing w:val="429"/>
                <w:sz w:val="21"/>
              </w:rPr>
              <w:t xml:space="preserve"> </w:t>
            </w:r>
            <w:r>
              <w:rPr>
                <w:rFonts w:ascii="宋体" w:hAnsi="宋体" w:cs="宋体"/>
                <w:color w:val="000000"/>
                <w:spacing w:val="0"/>
                <w:sz w:val="21"/>
              </w:rPr>
              <w:t>迷走神经</w:t>
            </w:r>
            <w:r>
              <w:rPr>
                <w:rFonts w:ascii="Times New Roman"/>
                <w:color w:val="000000"/>
                <w:spacing w:val="226"/>
                <w:sz w:val="21"/>
              </w:rPr>
              <w:t xml:space="preserve"> </w:t>
            </w:r>
            <w:r>
              <w:rPr>
                <w:rFonts w:ascii="宋体" w:hAnsi="宋体" w:cs="宋体"/>
                <w:color w:val="000000"/>
                <w:spacing w:val="0"/>
                <w:sz w:val="21"/>
              </w:rPr>
              <w:t>心肌</w:t>
            </w:r>
            <w:r>
              <w:rPr>
                <w:rFonts w:ascii="Times New Roman"/>
                <w:color w:val="000000"/>
                <w:spacing w:val="0"/>
                <w:sz w:val="21"/>
              </w:rPr>
              <w:t xml:space="preserve"> ACh</w:t>
            </w:r>
            <w:r>
              <w:rPr>
                <w:rFonts w:ascii="宋体" w:hAnsi="宋体" w:cs="宋体"/>
                <w:color w:val="000000"/>
                <w:spacing w:val="0"/>
                <w:sz w:val="21"/>
              </w:rPr>
              <w:t>（</w:t>
            </w:r>
            <w:r>
              <w:rPr>
                <w:rFonts w:ascii="Times New Roman"/>
                <w:color w:val="000000"/>
                <w:spacing w:val="0"/>
                <w:sz w:val="21"/>
              </w:rPr>
              <w:t>p g</w:t>
            </w:r>
            <w:r>
              <w:rPr>
                <w:rFonts w:ascii="微软雅黑" w:hAnsi="微软雅黑" w:cs="微软雅黑"/>
                <w:color w:val="000000"/>
                <w:spacing w:val="0"/>
                <w:sz w:val="21"/>
              </w:rPr>
              <w:t>・</w:t>
            </w:r>
            <w:r>
              <w:rPr>
                <w:rFonts w:ascii="Times New Roman"/>
                <w:color w:val="000000"/>
                <w:spacing w:val="0"/>
                <w:sz w:val="21"/>
              </w:rPr>
              <w:t>mg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3"/>
                <w:vertAlign w:val="superscript"/>
              </w:rPr>
              <w:t>−1</w:t>
            </w:r>
            <w:r>
              <w:rPr>
                <w:rFonts w:ascii="宋体" w:hAnsi="宋体" w:cs="宋体"/>
                <w:color w:val="000000"/>
                <w:spacing w:val="0"/>
                <w:sz w:val="21"/>
              </w:rPr>
              <w:t>）</w:t>
            </w:r>
          </w:p>
        </w:tc>
        <w:tc>
          <w:tcPr>
            <w:tcW w:w="20" w:type="dxa"/>
            <w:noWrap w:val="0"/>
            <w:vAlign w:val="top"/>
          </w:tcPr>
          <w:p w14:paraId="29C3A013">
            <w:pPr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</w:p>
        </w:tc>
        <w:tc>
          <w:tcPr>
            <w:tcW w:w="1842" w:type="dxa"/>
            <w:noWrap w:val="0"/>
            <w:vAlign w:val="top"/>
          </w:tcPr>
          <w:p w14:paraId="1FF823E5">
            <w:pPr>
              <w:spacing w:before="0" w:after="0" w:line="233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宋体" w:hAnsi="宋体" w:cs="宋体"/>
                <w:color w:val="000000"/>
                <w:spacing w:val="0"/>
                <w:sz w:val="21"/>
              </w:rPr>
              <w:t>心肌</w:t>
            </w:r>
            <w:r>
              <w:rPr>
                <w:rFonts w:ascii="Times New Roman"/>
                <w:color w:val="000000"/>
                <w:spacing w:val="0"/>
                <w:sz w:val="21"/>
              </w:rPr>
              <w:t xml:space="preserve"> M </w:t>
            </w:r>
            <w:r>
              <w:rPr>
                <w:rFonts w:ascii="宋体" w:hAnsi="宋体" w:cs="宋体"/>
                <w:color w:val="000000"/>
                <w:spacing w:val="0"/>
                <w:sz w:val="21"/>
              </w:rPr>
              <w:t>细胞数相对</w:t>
            </w:r>
          </w:p>
          <w:p w14:paraId="7D2A8531">
            <w:pPr>
              <w:spacing w:before="247" w:after="0" w:line="210" w:lineRule="exact"/>
              <w:ind w:left="776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宋体" w:hAnsi="宋体" w:cs="宋体"/>
                <w:color w:val="000000"/>
                <w:spacing w:val="0"/>
                <w:sz w:val="21"/>
              </w:rPr>
              <w:t>值</w:t>
            </w:r>
          </w:p>
        </w:tc>
      </w:tr>
    </w:tbl>
    <w:p w14:paraId="087475F1">
      <w:pPr>
        <w:spacing w:before="0" w:after="0" w:line="243" w:lineRule="exact"/>
        <w:ind w:left="685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EF</w: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%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FC2A111">
      <w:pPr>
        <w:spacing w:before="625" w:after="0" w:line="243" w:lineRule="exact"/>
        <w:ind w:left="1238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不刺激</w:t>
      </w:r>
      <w:r>
        <w:rPr>
          <w:rFonts w:ascii="Times New Roman"/>
          <w:color w:val="000000"/>
          <w:spacing w:val="132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77</w:t>
      </w:r>
      <w:r>
        <w:rPr>
          <w:rFonts w:ascii="Times New Roman"/>
          <w:color w:val="000000"/>
          <w:spacing w:val="209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8</w:t>
      </w:r>
      <w:r>
        <w:rPr>
          <w:rFonts w:ascii="Times New Roman"/>
          <w:color w:val="000000"/>
          <w:spacing w:val="141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65</w:t>
      </w:r>
    </w:p>
    <w:p w14:paraId="50806436">
      <w:pPr>
        <w:spacing w:before="85" w:after="0" w:line="220" w:lineRule="exact"/>
        <w:ind w:left="232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正常</w:t>
      </w:r>
    </w:p>
    <w:p w14:paraId="175FAC65">
      <w:pPr>
        <w:spacing w:before="85" w:after="0" w:line="243" w:lineRule="exact"/>
        <w:ind w:left="134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刺激</w:t>
      </w:r>
      <w:r>
        <w:rPr>
          <w:rFonts w:ascii="Times New Roman"/>
          <w:color w:val="000000"/>
          <w:spacing w:val="137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121</w:t>
      </w:r>
      <w:r>
        <w:rPr>
          <w:rFonts w:ascii="Times New Roman"/>
          <w:color w:val="000000"/>
          <w:spacing w:val="204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8</w:t>
      </w:r>
      <w:r>
        <w:rPr>
          <w:rFonts w:ascii="Times New Roman"/>
          <w:color w:val="000000"/>
          <w:spacing w:val="141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65</w:t>
      </w:r>
    </w:p>
    <w:p w14:paraId="35181532">
      <w:pPr>
        <w:spacing w:before="391" w:after="0" w:line="243" w:lineRule="exact"/>
        <w:ind w:left="1238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不刺激</w:t>
      </w:r>
      <w:r>
        <w:rPr>
          <w:rFonts w:ascii="Times New Roman"/>
          <w:color w:val="000000"/>
          <w:spacing w:val="132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54</w:t>
      </w:r>
      <w:r>
        <w:rPr>
          <w:rFonts w:ascii="Times New Roman"/>
          <w:color w:val="000000"/>
          <w:spacing w:val="204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15</w:t>
      </w:r>
      <w:r>
        <w:rPr>
          <w:rFonts w:ascii="Times New Roman"/>
          <w:color w:val="000000"/>
          <w:spacing w:val="136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45</w:t>
      </w:r>
    </w:p>
    <w:p w14:paraId="0535DF48">
      <w:pPr>
        <w:spacing w:before="85" w:after="0" w:line="220" w:lineRule="exact"/>
        <w:ind w:left="22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心衰模型</w:t>
      </w:r>
    </w:p>
    <w:p w14:paraId="6CC4DF3D">
      <w:pPr>
        <w:spacing w:before="85" w:after="0" w:line="243" w:lineRule="exact"/>
        <w:ind w:left="134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刺激</w:t>
      </w:r>
      <w:r>
        <w:rPr>
          <w:rFonts w:ascii="Times New Roman"/>
          <w:color w:val="000000"/>
          <w:spacing w:val="142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92</w:t>
      </w:r>
      <w:r>
        <w:rPr>
          <w:rFonts w:ascii="Times New Roman"/>
          <w:color w:val="000000"/>
          <w:spacing w:val="209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8</w:t>
      </w:r>
      <w:r>
        <w:rPr>
          <w:rFonts w:ascii="Times New Roman"/>
          <w:color w:val="000000"/>
          <w:spacing w:val="141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61</w:t>
      </w:r>
    </w:p>
    <w:p w14:paraId="1D58C3D0">
      <w:pPr>
        <w:spacing w:before="343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注：</w:t>
      </w:r>
      <w:r>
        <w:rPr>
          <w:rFonts w:ascii="Times New Roman"/>
          <w:color w:val="000000"/>
          <w:spacing w:val="0"/>
          <w:sz w:val="21"/>
        </w:rPr>
        <w:t xml:space="preserve">ACh </w:t>
      </w:r>
      <w:r>
        <w:rPr>
          <w:rFonts w:ascii="宋体" w:hAnsi="宋体" w:cs="宋体"/>
          <w:color w:val="000000"/>
          <w:spacing w:val="0"/>
          <w:sz w:val="21"/>
        </w:rPr>
        <w:t>为乙酰胆碱；</w:t>
      </w:r>
      <w:r>
        <w:rPr>
          <w:rFonts w:ascii="Times New Roman"/>
          <w:color w:val="000000"/>
          <w:spacing w:val="0"/>
          <w:sz w:val="21"/>
        </w:rPr>
        <w:t xml:space="preserve">M </w:t>
      </w:r>
      <w:r>
        <w:rPr>
          <w:rFonts w:ascii="宋体" w:hAnsi="宋体" w:cs="宋体"/>
          <w:color w:val="000000"/>
          <w:spacing w:val="0"/>
          <w:sz w:val="21"/>
        </w:rPr>
        <w:t>为某类巨噬细胞；</w:t>
      </w:r>
      <w:r>
        <w:rPr>
          <w:rFonts w:ascii="Times New Roman"/>
          <w:color w:val="000000"/>
          <w:spacing w:val="0"/>
          <w:sz w:val="21"/>
        </w:rPr>
        <w:t xml:space="preserve">EF </w:t>
      </w:r>
      <w:r>
        <w:rPr>
          <w:rFonts w:ascii="宋体" w:hAnsi="宋体" w:cs="宋体"/>
          <w:color w:val="000000"/>
          <w:spacing w:val="0"/>
          <w:sz w:val="21"/>
        </w:rPr>
        <w:t>为心脏射血能力评价指标；</w:t>
      </w:r>
      <w:r>
        <w:rPr>
          <w:rFonts w:ascii="Times New Roman" w:hAnsi="Times New Roman" w:cs="Times New Roman"/>
          <w:color w:val="000000"/>
          <w:spacing w:val="0"/>
          <w:sz w:val="21"/>
        </w:rPr>
        <w:t>TNF-α</w:t>
      </w:r>
      <w:r>
        <w:rPr>
          <w:rFonts w:ascii="宋体" w:hAnsi="宋体" w:cs="宋体"/>
          <w:color w:val="000000"/>
          <w:spacing w:val="0"/>
          <w:sz w:val="21"/>
        </w:rPr>
        <w:t>为肿瘤坏死因子。</w:t>
      </w:r>
    </w:p>
    <w:p w14:paraId="5E76E3D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）由表可知，刺激迷走神经对心肌</w:t>
      </w:r>
      <w:r>
        <w:rPr>
          <w:rFonts w:ascii="Times New Roman"/>
          <w:color w:val="000000"/>
          <w:spacing w:val="0"/>
          <w:sz w:val="21"/>
        </w:rPr>
        <w:t xml:space="preserve"> M </w:t>
      </w:r>
      <w:r>
        <w:rPr>
          <w:rFonts w:ascii="宋体" w:hAnsi="宋体" w:cs="宋体"/>
          <w:color w:val="000000"/>
          <w:spacing w:val="0"/>
          <w:sz w:val="21"/>
        </w:rPr>
        <w:t>细胞数量的影响是</w:t>
      </w:r>
      <w:r>
        <w:rPr>
          <w:rFonts w:ascii="Times New Roman"/>
          <w:color w:val="000000"/>
          <w:spacing w:val="0"/>
          <w:sz w:val="21"/>
        </w:rPr>
        <w:t>________________________________________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2C28F39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-2"/>
          <w:sz w:val="21"/>
        </w:rPr>
        <w:t>）心衰的发展与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M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细胞中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X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基因表达有关。为探讨相关调控机制，对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M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细胞进行不同处理并检测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X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基</w:t>
      </w:r>
    </w:p>
    <w:p w14:paraId="708F6E15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因的表达情况，结果如图。</w:t>
      </w:r>
    </w:p>
    <w:p w14:paraId="299679F7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</w:t>
      </w:r>
      <w:r>
        <w:rPr>
          <w:rFonts w:ascii="Times New Roman"/>
          <w:color w:val="000000"/>
          <w:spacing w:val="0"/>
          <w:sz w:val="21"/>
        </w:rPr>
        <w:t xml:space="preserve">M </w:t>
      </w:r>
      <w:r>
        <w:rPr>
          <w:rFonts w:ascii="宋体" w:hAnsi="宋体" w:cs="宋体"/>
          <w:color w:val="000000"/>
          <w:spacing w:val="0"/>
          <w:sz w:val="21"/>
        </w:rPr>
        <w:t>细胞可产生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</w:rPr>
        <w:t>TNF-α</w:t>
      </w:r>
      <w:r>
        <w:rPr>
          <w:rFonts w:ascii="宋体" w:hAnsi="宋体" w:cs="宋体"/>
          <w:color w:val="000000"/>
          <w:spacing w:val="0"/>
          <w:sz w:val="21"/>
        </w:rPr>
        <w:t>，引起炎症反应。由图可知，</w:t>
      </w:r>
      <w:r>
        <w:rPr>
          <w:rFonts w:ascii="Times New Roman" w:hAnsi="Times New Roman" w:cs="Times New Roman"/>
          <w:color w:val="000000"/>
          <w:spacing w:val="0"/>
          <w:sz w:val="21"/>
        </w:rPr>
        <w:t>TNF-α</w:t>
      </w:r>
      <w:r>
        <w:rPr>
          <w:rFonts w:ascii="宋体" w:hAnsi="宋体" w:cs="宋体"/>
          <w:color w:val="000000"/>
          <w:spacing w:val="0"/>
          <w:sz w:val="21"/>
        </w:rPr>
        <w:t>可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（填“促进”或“抑制”）</w:t>
      </w:r>
      <w:r>
        <w:rPr>
          <w:rFonts w:ascii="Times New Roman"/>
          <w:color w:val="000000"/>
          <w:spacing w:val="0"/>
          <w:sz w:val="21"/>
        </w:rPr>
        <w:t xml:space="preserve">X </w:t>
      </w:r>
      <w:r>
        <w:rPr>
          <w:rFonts w:ascii="宋体" w:hAnsi="宋体" w:cs="宋体"/>
          <w:color w:val="000000"/>
          <w:spacing w:val="0"/>
          <w:sz w:val="21"/>
        </w:rPr>
        <w:t>基因的</w:t>
      </w:r>
    </w:p>
    <w:p w14:paraId="24EA6AD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表达，进而招募更多的</w:t>
      </w:r>
      <w:r>
        <w:rPr>
          <w:rFonts w:ascii="Times New Roman"/>
          <w:color w:val="000000"/>
          <w:spacing w:val="0"/>
          <w:sz w:val="21"/>
        </w:rPr>
        <w:t xml:space="preserve"> M </w:t>
      </w:r>
      <w:r>
        <w:rPr>
          <w:rFonts w:ascii="宋体" w:hAnsi="宋体" w:cs="宋体"/>
          <w:color w:val="000000"/>
          <w:spacing w:val="0"/>
          <w:sz w:val="21"/>
        </w:rPr>
        <w:t>细胞在心脏聚集，炎症反应加剧，导致心肌细胞受损加重。</w:t>
      </w:r>
    </w:p>
    <w:p w14:paraId="0688CE8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②由图分析，</w:t>
      </w:r>
      <w:r>
        <w:rPr>
          <w:rFonts w:ascii="Times New Roman"/>
          <w:color w:val="000000"/>
          <w:spacing w:val="0"/>
          <w:sz w:val="21"/>
        </w:rPr>
        <w:t xml:space="preserve">ACh </w:t>
      </w:r>
      <w:r>
        <w:rPr>
          <w:rFonts w:ascii="宋体" w:hAnsi="宋体" w:cs="宋体"/>
          <w:color w:val="000000"/>
          <w:spacing w:val="0"/>
          <w:sz w:val="21"/>
        </w:rPr>
        <w:t>发挥的作用是</w:t>
      </w:r>
    </w:p>
    <w:p w14:paraId="3023309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_____________________________________________________________________________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E95519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</w:t>
      </w:r>
      <w:r>
        <w:rPr>
          <w:rFonts w:ascii="Times New Roman"/>
          <w:color w:val="000000"/>
          <w:spacing w:val="0"/>
          <w:sz w:val="21"/>
        </w:rPr>
        <w:t xml:space="preserve">X </w:t>
      </w:r>
      <w:r>
        <w:rPr>
          <w:rFonts w:ascii="宋体" w:hAnsi="宋体" w:cs="宋体"/>
          <w:color w:val="000000"/>
          <w:spacing w:val="0"/>
          <w:sz w:val="21"/>
        </w:rPr>
        <w:t>基因的表达受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</w:rPr>
        <w:t>TNF−α</w:t>
      </w:r>
      <w:r>
        <w:rPr>
          <w:rFonts w:ascii="宋体" w:hAnsi="宋体" w:cs="宋体"/>
          <w:color w:val="000000"/>
          <w:spacing w:val="0"/>
          <w:sz w:val="21"/>
        </w:rPr>
        <w:t>直接调节。迷走神经释放的</w:t>
      </w:r>
      <w:r>
        <w:rPr>
          <w:rFonts w:ascii="Times New Roman"/>
          <w:color w:val="000000"/>
          <w:spacing w:val="0"/>
          <w:sz w:val="21"/>
        </w:rPr>
        <w:t xml:space="preserve"> ACh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0"/>
          <w:sz w:val="21"/>
        </w:rPr>
        <w:t xml:space="preserve"> M </w:t>
      </w:r>
      <w:r>
        <w:rPr>
          <w:rFonts w:ascii="宋体" w:hAnsi="宋体" w:cs="宋体"/>
          <w:color w:val="000000"/>
          <w:spacing w:val="0"/>
          <w:sz w:val="21"/>
        </w:rPr>
        <w:t>细胞膜上的</w:t>
      </w:r>
      <w:r>
        <w:rPr>
          <w:rFonts w:ascii="Times New Roman"/>
          <w:color w:val="000000"/>
          <w:spacing w:val="0"/>
          <w:sz w:val="21"/>
        </w:rPr>
        <w:t xml:space="preserve"> ACh </w:t>
      </w:r>
      <w:r>
        <w:rPr>
          <w:rFonts w:ascii="宋体" w:hAnsi="宋体" w:cs="宋体"/>
          <w:color w:val="000000"/>
          <w:spacing w:val="0"/>
          <w:sz w:val="21"/>
        </w:rPr>
        <w:t>受体（</w:t>
      </w:r>
      <w:r>
        <w:rPr>
          <w:rFonts w:ascii="Times New Roman"/>
          <w:color w:val="000000"/>
          <w:spacing w:val="0"/>
          <w:sz w:val="21"/>
        </w:rPr>
        <w:t>AChR</w:t>
      </w:r>
      <w:r>
        <w:rPr>
          <w:rFonts w:ascii="宋体" w:hAnsi="宋体" w:cs="宋体"/>
          <w:color w:val="000000"/>
          <w:spacing w:val="0"/>
          <w:sz w:val="21"/>
        </w:rPr>
        <w:t>）结合，能</w:t>
      </w:r>
    </w:p>
    <w:p w14:paraId="1FADA40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促进</w:t>
      </w:r>
      <w:r>
        <w:rPr>
          <w:rFonts w:ascii="Times New Roman"/>
          <w:color w:val="000000"/>
          <w:spacing w:val="0"/>
          <w:sz w:val="21"/>
        </w:rPr>
        <w:t xml:space="preserve"> M </w:t>
      </w:r>
      <w:r>
        <w:rPr>
          <w:rFonts w:ascii="宋体" w:hAnsi="宋体" w:cs="宋体"/>
          <w:color w:val="000000"/>
          <w:spacing w:val="0"/>
          <w:sz w:val="21"/>
        </w:rPr>
        <w:t>细胞中</w:t>
      </w:r>
      <w:r>
        <w:rPr>
          <w:rFonts w:ascii="Times New Roman"/>
          <w:color w:val="000000"/>
          <w:spacing w:val="0"/>
          <w:sz w:val="21"/>
        </w:rPr>
        <w:t xml:space="preserve"> N </w:t>
      </w:r>
      <w:r>
        <w:rPr>
          <w:rFonts w:ascii="宋体" w:hAnsi="宋体" w:cs="宋体"/>
          <w:color w:val="000000"/>
          <w:spacing w:val="0"/>
          <w:sz w:val="21"/>
        </w:rPr>
        <w:t>蛋白表达。有人在图中三组实验基础上，仅通过增加一组实验便证明了</w:t>
      </w:r>
      <w:r>
        <w:rPr>
          <w:rFonts w:ascii="Times New Roman"/>
          <w:color w:val="000000"/>
          <w:spacing w:val="0"/>
          <w:sz w:val="21"/>
        </w:rPr>
        <w:t xml:space="preserve"> ACh </w:t>
      </w:r>
      <w:r>
        <w:rPr>
          <w:rFonts w:ascii="宋体" w:hAnsi="宋体" w:cs="宋体"/>
          <w:color w:val="000000"/>
          <w:spacing w:val="0"/>
          <w:sz w:val="21"/>
        </w:rPr>
        <w:t>是通过</w:t>
      </w:r>
      <w:r>
        <w:rPr>
          <w:rFonts w:ascii="Times New Roman"/>
          <w:color w:val="000000"/>
          <w:spacing w:val="0"/>
          <w:sz w:val="21"/>
        </w:rPr>
        <w:t xml:space="preserve"> N </w:t>
      </w:r>
      <w:r>
        <w:rPr>
          <w:rFonts w:ascii="宋体" w:hAnsi="宋体" w:cs="宋体"/>
          <w:color w:val="000000"/>
          <w:spacing w:val="0"/>
          <w:sz w:val="21"/>
        </w:rPr>
        <w:t>蛋</w:t>
      </w:r>
    </w:p>
    <w:p w14:paraId="3F4AF87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白来影响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</w:rPr>
        <w:t>TNF−α</w:t>
      </w:r>
      <w:r>
        <w:rPr>
          <w:rFonts w:ascii="宋体" w:hAnsi="宋体" w:cs="宋体"/>
          <w:color w:val="000000"/>
          <w:spacing w:val="0"/>
          <w:sz w:val="21"/>
        </w:rPr>
        <w:t>对</w:t>
      </w:r>
      <w:r>
        <w:rPr>
          <w:rFonts w:ascii="Times New Roman"/>
          <w:color w:val="000000"/>
          <w:spacing w:val="0"/>
          <w:sz w:val="21"/>
        </w:rPr>
        <w:t xml:space="preserve"> X </w:t>
      </w:r>
      <w:r>
        <w:rPr>
          <w:rFonts w:ascii="宋体" w:hAnsi="宋体" w:cs="宋体"/>
          <w:color w:val="000000"/>
          <w:spacing w:val="0"/>
          <w:sz w:val="21"/>
        </w:rPr>
        <w:t>基因表达的调节，则该组实验设计应为</w:t>
      </w:r>
      <w:r>
        <w:rPr>
          <w:rFonts w:ascii="Times New Roman"/>
          <w:color w:val="000000"/>
          <w:spacing w:val="0"/>
          <w:sz w:val="21"/>
        </w:rPr>
        <w:t>______________________________________</w:t>
      </w:r>
      <w:r>
        <w:rPr>
          <w:rFonts w:ascii="宋体" w:hAnsi="宋体" w:cs="宋体"/>
          <w:color w:val="000000"/>
          <w:spacing w:val="0"/>
          <w:sz w:val="21"/>
        </w:rPr>
        <w:t>，</w:t>
      </w:r>
    </w:p>
    <w:p w14:paraId="194B98D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预期结果是</w:t>
      </w:r>
      <w:r>
        <w:rPr>
          <w:rFonts w:ascii="Times New Roman"/>
          <w:color w:val="000000"/>
          <w:spacing w:val="0"/>
          <w:sz w:val="21"/>
        </w:rPr>
        <w:t>_______________________________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5881E7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）药物筛选发现，某药物通过与</w:t>
      </w:r>
      <w:r>
        <w:rPr>
          <w:rFonts w:ascii="Times New Roman"/>
          <w:color w:val="000000"/>
          <w:spacing w:val="0"/>
          <w:sz w:val="21"/>
        </w:rPr>
        <w:t xml:space="preserve"> AChR </w:t>
      </w:r>
      <w:r>
        <w:rPr>
          <w:rFonts w:ascii="宋体" w:hAnsi="宋体" w:cs="宋体"/>
          <w:color w:val="000000"/>
          <w:spacing w:val="0"/>
          <w:sz w:val="21"/>
        </w:rPr>
        <w:t>结合有效缓解心衰，综合上述研究结果，分析其具体作用机制</w:t>
      </w:r>
    </w:p>
    <w:p w14:paraId="5DFBF227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是</w:t>
      </w:r>
    </w:p>
    <w:p w14:paraId="0D4FE678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____________________________________________________________________________________________</w:t>
      </w:r>
    </w:p>
    <w:p w14:paraId="52CE064E">
      <w:pPr>
        <w:spacing w:before="36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71E6B63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107319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CCC5CA0">
      <w:pPr>
        <w:sectPr>
          <w:pgSz w:w="11900" w:h="16840"/>
          <w:pgMar w:top="153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6F1F6AD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0" w:name="_GoBack"/>
      <w:bookmarkEnd w:id="0"/>
    </w:p>
    <w:p w14:paraId="5CD26837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31" o:spid="_x0000_s1057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pict>
          <v:shape id="_x000032" o:spid="_x0000_s1058" o:spt="75" type="#_x0000_t75" style="position:absolute;left:0pt;margin-left:53pt;margin-top:416.25pt;height:188.85pt;width:456.7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6" o:title=""/>
            <o:lock v:ext="edit" aspectratio="t"/>
          </v:shape>
        </w:pict>
      </w:r>
      <w:r>
        <w:pict>
          <v:shape id="_x000033" o:spid="_x0000_s1059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pict>
          <v:shape id="_x000034" o:spid="_x0000_s1060" o:spt="75" type="#_x0000_t75" style="position:absolute;left:0pt;margin-left:53pt;margin-top:164.85pt;height:130.35pt;width:265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7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____________________________________________________________________________________________</w:t>
      </w:r>
    </w:p>
    <w:p w14:paraId="4DC6911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___________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79535A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肿瘤的快速增殖使其内部缺氧，有人将普拉梭菌</w:t>
      </w:r>
      <w:r>
        <w:rPr>
          <w:rFonts w:ascii="Times New Roman"/>
          <w:color w:val="000000"/>
          <w:spacing w:val="0"/>
          <w:sz w:val="21"/>
        </w:rPr>
        <w:t xml:space="preserve"> fp </w:t>
      </w:r>
      <w:r>
        <w:rPr>
          <w:rFonts w:ascii="宋体" w:hAnsi="宋体" w:cs="宋体"/>
          <w:color w:val="000000"/>
          <w:spacing w:val="0"/>
          <w:sz w:val="21"/>
        </w:rPr>
        <w:t>基因转入兼性厌氧大肠杆菌（</w:t>
      </w:r>
      <w:r>
        <w:rPr>
          <w:rFonts w:ascii="Times New Roman"/>
          <w:color w:val="000000"/>
          <w:spacing w:val="0"/>
          <w:sz w:val="21"/>
        </w:rPr>
        <w:t>E.coli</w:t>
      </w:r>
      <w:r>
        <w:rPr>
          <w:rFonts w:ascii="宋体" w:hAnsi="宋体" w:cs="宋体"/>
          <w:color w:val="000000"/>
          <w:spacing w:val="-15"/>
          <w:sz w:val="21"/>
        </w:rPr>
        <w:t>），构建工程菌</w:t>
      </w:r>
    </w:p>
    <w:p w14:paraId="4E7DCA9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E.coli-fp </w:t>
      </w:r>
      <w:r>
        <w:rPr>
          <w:rFonts w:ascii="宋体" w:hAnsi="宋体" w:cs="宋体"/>
          <w:color w:val="000000"/>
          <w:spacing w:val="0"/>
          <w:sz w:val="21"/>
        </w:rPr>
        <w:t>并评估其抗肿瘤效果，部分操作如图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。回答下列问题。</w:t>
      </w:r>
    </w:p>
    <w:p w14:paraId="09BCD891">
      <w:pPr>
        <w:spacing w:before="303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0"/>
          <w:sz w:val="21"/>
        </w:rPr>
        <w:t xml:space="preserve">DNA </w:t>
      </w:r>
      <w:r>
        <w:rPr>
          <w:rFonts w:ascii="宋体" w:hAnsi="宋体" w:cs="宋体"/>
          <w:color w:val="000000"/>
          <w:spacing w:val="0"/>
          <w:sz w:val="21"/>
        </w:rPr>
        <w:t>连接酶可催化</w:t>
      </w:r>
      <w:r>
        <w:rPr>
          <w:rFonts w:ascii="Times New Roman"/>
          <w:color w:val="000000"/>
          <w:spacing w:val="0"/>
          <w:sz w:val="21"/>
        </w:rPr>
        <w:t xml:space="preserve"> fp </w:t>
      </w:r>
      <w:r>
        <w:rPr>
          <w:rFonts w:ascii="宋体" w:hAnsi="宋体" w:cs="宋体"/>
          <w:color w:val="000000"/>
          <w:spacing w:val="0"/>
          <w:sz w:val="21"/>
        </w:rPr>
        <w:t>基因与载体之间生成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键，连接形成重组质粒。工程菌</w:t>
      </w:r>
      <w:r>
        <w:rPr>
          <w:rFonts w:ascii="Times New Roman"/>
          <w:color w:val="000000"/>
          <w:spacing w:val="0"/>
          <w:sz w:val="21"/>
        </w:rPr>
        <w:t xml:space="preserve"> E.coli-fp </w:t>
      </w:r>
      <w:r>
        <w:rPr>
          <w:rFonts w:ascii="宋体" w:hAnsi="宋体" w:cs="宋体"/>
          <w:color w:val="000000"/>
          <w:spacing w:val="0"/>
          <w:sz w:val="21"/>
        </w:rPr>
        <w:t>表达的</w:t>
      </w:r>
    </w:p>
    <w:p w14:paraId="6E8A461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产物中</w:t>
      </w:r>
      <w:r>
        <w:rPr>
          <w:rFonts w:ascii="Times New Roman"/>
          <w:color w:val="000000"/>
          <w:spacing w:val="0"/>
          <w:sz w:val="21"/>
        </w:rPr>
        <w:t xml:space="preserve"> His </w:t>
      </w:r>
      <w:r>
        <w:rPr>
          <w:rFonts w:ascii="宋体" w:hAnsi="宋体" w:cs="宋体"/>
          <w:color w:val="000000"/>
          <w:spacing w:val="0"/>
          <w:sz w:val="21"/>
        </w:rPr>
        <w:t>标签可被抗体识别。将</w:t>
      </w:r>
      <w:r>
        <w:rPr>
          <w:rFonts w:ascii="Times New Roman"/>
          <w:color w:val="000000"/>
          <w:spacing w:val="0"/>
          <w:sz w:val="21"/>
        </w:rPr>
        <w:t xml:space="preserve"> His </w:t>
      </w:r>
      <w:r>
        <w:rPr>
          <w:rFonts w:ascii="宋体" w:hAnsi="宋体" w:cs="宋体"/>
          <w:color w:val="000000"/>
          <w:spacing w:val="0"/>
          <w:sz w:val="21"/>
        </w:rPr>
        <w:t>标签置于</w:t>
      </w:r>
      <w:r>
        <w:rPr>
          <w:rFonts w:ascii="Times New Roman"/>
          <w:color w:val="000000"/>
          <w:spacing w:val="0"/>
          <w:sz w:val="21"/>
        </w:rPr>
        <w:t xml:space="preserve"> fp </w:t>
      </w:r>
      <w:r>
        <w:rPr>
          <w:rFonts w:ascii="宋体" w:hAnsi="宋体" w:cs="宋体"/>
          <w:color w:val="000000"/>
          <w:spacing w:val="0"/>
          <w:sz w:val="21"/>
        </w:rPr>
        <w:t>基因后并融合表达，目的是</w:t>
      </w:r>
    </w:p>
    <w:p w14:paraId="70B1C0E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____________________________________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2A8B296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0"/>
          <w:sz w:val="21"/>
        </w:rPr>
        <w:t xml:space="preserve">PD-1 </w:t>
      </w:r>
      <w:r>
        <w:rPr>
          <w:rFonts w:ascii="宋体" w:hAnsi="宋体" w:cs="宋体"/>
          <w:color w:val="000000"/>
          <w:spacing w:val="0"/>
          <w:sz w:val="21"/>
        </w:rPr>
        <w:t>抗体是一种抗癌药物。为分析</w:t>
      </w:r>
      <w:r>
        <w:rPr>
          <w:rFonts w:ascii="Times New Roman"/>
          <w:color w:val="000000"/>
          <w:spacing w:val="0"/>
          <w:sz w:val="21"/>
        </w:rPr>
        <w:t xml:space="preserve"> FP </w:t>
      </w:r>
      <w:r>
        <w:rPr>
          <w:rFonts w:ascii="宋体" w:hAnsi="宋体" w:cs="宋体"/>
          <w:color w:val="000000"/>
          <w:spacing w:val="0"/>
          <w:sz w:val="21"/>
        </w:rPr>
        <w:t>蛋白对肿瘤的疗效，有人开展了相关实验，结果如图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，请评</w:t>
      </w:r>
    </w:p>
    <w:p w14:paraId="23AE1F8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价</w:t>
      </w:r>
      <w:r>
        <w:rPr>
          <w:rFonts w:ascii="Times New Roman"/>
          <w:color w:val="000000"/>
          <w:spacing w:val="0"/>
          <w:sz w:val="21"/>
        </w:rPr>
        <w:t xml:space="preserve"> FP </w:t>
      </w:r>
      <w:r>
        <w:rPr>
          <w:rFonts w:ascii="宋体" w:hAnsi="宋体" w:cs="宋体"/>
          <w:color w:val="000000"/>
          <w:spacing w:val="0"/>
          <w:sz w:val="21"/>
        </w:rPr>
        <w:t>蛋白和</w:t>
      </w:r>
      <w:r>
        <w:rPr>
          <w:rFonts w:ascii="Times New Roman"/>
          <w:color w:val="000000"/>
          <w:spacing w:val="0"/>
          <w:sz w:val="21"/>
        </w:rPr>
        <w:t xml:space="preserve"> PD-1 </w:t>
      </w:r>
      <w:r>
        <w:rPr>
          <w:rFonts w:ascii="宋体" w:hAnsi="宋体" w:cs="宋体"/>
          <w:color w:val="000000"/>
          <w:spacing w:val="0"/>
          <w:sz w:val="21"/>
        </w:rPr>
        <w:t>抗体对肿瘤的治疗效果</w:t>
      </w:r>
      <w:r>
        <w:rPr>
          <w:rFonts w:ascii="Times New Roman"/>
          <w:color w:val="000000"/>
          <w:spacing w:val="0"/>
          <w:sz w:val="21"/>
        </w:rPr>
        <w:t>_______________________________________________________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1863AFB4">
      <w:pPr>
        <w:spacing w:before="397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-2"/>
          <w:sz w:val="21"/>
        </w:rPr>
        <w:t>）色谱分析可区分不同的小分子，同一分子会在固定时间出现峰值。向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-8"/>
          <w:sz w:val="21"/>
        </w:rPr>
        <w:t>ATP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或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GTP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溶液中加入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FP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蛋白，</w:t>
      </w:r>
    </w:p>
    <w:p w14:paraId="3E5FFE9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反应后的色谱分析结果如图</w:t>
      </w:r>
      <w:r>
        <w:rPr>
          <w:rFonts w:ascii="Times New Roman"/>
          <w:color w:val="000000"/>
          <w:spacing w:val="0"/>
          <w:sz w:val="21"/>
        </w:rPr>
        <w:t xml:space="preserve"> 3</w:t>
      </w:r>
      <w:r>
        <w:rPr>
          <w:rFonts w:ascii="宋体" w:hAnsi="宋体" w:cs="宋体"/>
          <w:color w:val="000000"/>
          <w:spacing w:val="0"/>
          <w:sz w:val="21"/>
        </w:rPr>
        <w:t>。</w:t>
      </w:r>
      <w:r>
        <w:rPr>
          <w:rFonts w:ascii="Times New Roman"/>
          <w:color w:val="000000"/>
          <w:spacing w:val="0"/>
          <w:sz w:val="21"/>
        </w:rPr>
        <w:t xml:space="preserve">FP </w:t>
      </w:r>
      <w:r>
        <w:rPr>
          <w:rFonts w:ascii="宋体" w:hAnsi="宋体" w:cs="宋体"/>
          <w:color w:val="000000"/>
          <w:spacing w:val="0"/>
          <w:sz w:val="21"/>
        </w:rPr>
        <w:t>蛋白的反应底物是</w:t>
      </w:r>
      <w:r>
        <w:rPr>
          <w:rFonts w:ascii="Times New Roman"/>
          <w:color w:val="000000"/>
          <w:spacing w:val="0"/>
          <w:sz w:val="21"/>
        </w:rPr>
        <w:t>__________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378A94F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）有人将</w:t>
      </w:r>
      <w:r>
        <w:rPr>
          <w:rFonts w:ascii="Times New Roman"/>
          <w:color w:val="000000"/>
          <w:spacing w:val="0"/>
          <w:sz w:val="21"/>
        </w:rPr>
        <w:t xml:space="preserve"> E.coli </w:t>
      </w:r>
      <w:r>
        <w:rPr>
          <w:rFonts w:ascii="宋体" w:hAnsi="宋体" w:cs="宋体"/>
          <w:color w:val="000000"/>
          <w:spacing w:val="0"/>
          <w:sz w:val="21"/>
        </w:rPr>
        <w:t>或含厌氧启动子的工程菌</w:t>
      </w:r>
      <w:r>
        <w:rPr>
          <w:rFonts w:ascii="Times New Roman"/>
          <w:color w:val="000000"/>
          <w:spacing w:val="0"/>
          <w:sz w:val="21"/>
        </w:rPr>
        <w:t xml:space="preserve"> E.coli-fp </w:t>
      </w:r>
      <w:r>
        <w:rPr>
          <w:rFonts w:ascii="宋体" w:hAnsi="宋体" w:cs="宋体"/>
          <w:color w:val="000000"/>
          <w:spacing w:val="0"/>
          <w:sz w:val="21"/>
        </w:rPr>
        <w:t>注射到小鼠尾静脉，证明</w:t>
      </w:r>
      <w:r>
        <w:rPr>
          <w:rFonts w:ascii="Times New Roman"/>
          <w:color w:val="000000"/>
          <w:spacing w:val="0"/>
          <w:sz w:val="21"/>
        </w:rPr>
        <w:t xml:space="preserve"> E.coli-fp </w:t>
      </w:r>
      <w:r>
        <w:rPr>
          <w:rFonts w:ascii="宋体" w:hAnsi="宋体" w:cs="宋体"/>
          <w:color w:val="000000"/>
          <w:spacing w:val="0"/>
          <w:sz w:val="21"/>
        </w:rPr>
        <w:t>具有抗肿瘤作用。</w:t>
      </w:r>
    </w:p>
    <w:p w14:paraId="4EB1791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据图</w:t>
      </w:r>
      <w:r>
        <w:rPr>
          <w:rFonts w:ascii="Times New Roman"/>
          <w:color w:val="000000"/>
          <w:spacing w:val="0"/>
          <w:sz w:val="21"/>
        </w:rPr>
        <w:t xml:space="preserve"> 4 </w:t>
      </w:r>
      <w:r>
        <w:rPr>
          <w:rFonts w:ascii="宋体" w:hAnsi="宋体" w:cs="宋体"/>
          <w:color w:val="000000"/>
          <w:spacing w:val="0"/>
          <w:sz w:val="21"/>
        </w:rPr>
        <w:t>分析，用</w:t>
      </w:r>
      <w:r>
        <w:rPr>
          <w:rFonts w:ascii="Times New Roman"/>
          <w:color w:val="000000"/>
          <w:spacing w:val="0"/>
          <w:sz w:val="21"/>
        </w:rPr>
        <w:t xml:space="preserve"> His </w:t>
      </w:r>
      <w:r>
        <w:rPr>
          <w:rFonts w:ascii="宋体" w:hAnsi="宋体" w:cs="宋体"/>
          <w:color w:val="000000"/>
          <w:spacing w:val="0"/>
          <w:sz w:val="21"/>
        </w:rPr>
        <w:t>标签抗体杂交，检测到的组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0"/>
          <w:sz w:val="21"/>
        </w:rPr>
        <w:t>是</w:t>
      </w:r>
      <w:r>
        <w:rPr>
          <w:rFonts w:ascii="Times New Roman"/>
          <w:color w:val="000000"/>
          <w:spacing w:val="0"/>
          <w:sz w:val="21"/>
        </w:rPr>
        <w:t>__________</w:t>
      </w:r>
      <w:r>
        <w:rPr>
          <w:rFonts w:ascii="宋体" w:hAnsi="宋体" w:cs="宋体"/>
          <w:color w:val="000000"/>
          <w:spacing w:val="0"/>
          <w:sz w:val="21"/>
        </w:rPr>
        <w:t>（填“</w:t>
      </w:r>
      <w:r>
        <w:rPr>
          <w:rFonts w:ascii="Times New Roman"/>
          <w:color w:val="000000"/>
          <w:spacing w:val="0"/>
          <w:sz w:val="21"/>
        </w:rPr>
        <w:t>E.coli</w:t>
      </w:r>
      <w:r>
        <w:rPr>
          <w:rFonts w:ascii="宋体" w:hAnsi="宋体" w:cs="宋体"/>
          <w:color w:val="000000"/>
          <w:spacing w:val="0"/>
          <w:sz w:val="21"/>
        </w:rPr>
        <w:t>”或“</w:t>
      </w:r>
      <w:r>
        <w:rPr>
          <w:rFonts w:ascii="Times New Roman"/>
          <w:color w:val="000000"/>
          <w:spacing w:val="0"/>
          <w:sz w:val="21"/>
        </w:rPr>
        <w:t>E.coli-fp</w:t>
      </w:r>
      <w:r>
        <w:rPr>
          <w:rFonts w:ascii="宋体" w:hAnsi="宋体" w:cs="宋体"/>
          <w:color w:val="000000"/>
          <w:spacing w:val="-15"/>
          <w:sz w:val="21"/>
        </w:rPr>
        <w:t>”）；兼性厌氧</w:t>
      </w:r>
    </w:p>
    <w:p w14:paraId="1B1B2F98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大肠杆菌主要在肿瘤中存活并增殖，原因可能是</w:t>
      </w:r>
    </w:p>
    <w:p w14:paraId="1401E83E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____________________________________________________________________________________________</w:t>
      </w:r>
    </w:p>
    <w:p w14:paraId="22E072D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____________________________________________________________________________________________</w:t>
      </w:r>
    </w:p>
    <w:p w14:paraId="4AC5FDD0">
      <w:pPr>
        <w:spacing w:before="10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4A89ED3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E89EEB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740151A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35" o:spid="_x0000_s1061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pict>
          <v:shape id="_x000036" o:spid="_x0000_s1062" o:spt="75" type="#_x0000_t75" style="position:absolute;left:0pt;margin-left:53pt;margin-top:349.45pt;height:213.6pt;width:191.8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8" o:title=""/>
            <o:lock v:ext="edit" aspectratio="t"/>
          </v:shape>
        </w:pict>
      </w:r>
      <w:r>
        <w:pict>
          <v:shape id="_x000037" o:spid="_x0000_s1063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pict>
          <v:shape id="_x000038" o:spid="_x0000_s1064" o:spt="75" type="#_x0000_t75" style="position:absolute;left:0pt;margin-left:47pt;margin-top:611.3pt;height:97.3pt;width:307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9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____________________________________________________</w:t>
      </w:r>
      <w:r>
        <w:rPr>
          <w:rFonts w:ascii="宋体" w:hAnsi="宋体" w:cs="宋体"/>
          <w:color w:val="000000"/>
          <w:spacing w:val="-6"/>
          <w:sz w:val="21"/>
        </w:rPr>
        <w:t>。综合分析，</w:t>
      </w:r>
      <w:r>
        <w:rPr>
          <w:rFonts w:ascii="Times New Roman"/>
          <w:color w:val="000000"/>
          <w:spacing w:val="0"/>
          <w:sz w:val="21"/>
        </w:rPr>
        <w:t>E.coli-fp</w:t>
      </w:r>
      <w:r>
        <w:rPr>
          <w:rFonts w:ascii="Times New Roman"/>
          <w:color w:val="000000"/>
          <w:spacing w:val="-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能有效治疗肿瘤的作用机</w:t>
      </w:r>
    </w:p>
    <w:p w14:paraId="586E049F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制是</w:t>
      </w:r>
    </w:p>
    <w:p w14:paraId="72DCECA5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____________________________________________________________________________________________</w:t>
      </w:r>
    </w:p>
    <w:p w14:paraId="7A1B11B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____________________________________________________________________________________________</w:t>
      </w:r>
    </w:p>
    <w:p w14:paraId="17B26DD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__________________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4F4A20A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20.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矮秆水稻具有较强抗倒伏能力，有人开展了矮秆高产水稻相关研究（相关基因均独立遗传）。回答下列</w:t>
      </w:r>
    </w:p>
    <w:p w14:paraId="554C578A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问题。</w:t>
      </w:r>
    </w:p>
    <w:p w14:paraId="4BF30F5E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）水稻的株高与赤霉素有关，赤霉素能</w:t>
      </w:r>
      <w:r>
        <w:rPr>
          <w:rFonts w:ascii="Times New Roman"/>
          <w:color w:val="000000"/>
          <w:spacing w:val="0"/>
          <w:sz w:val="21"/>
        </w:rPr>
        <w:t>__________</w:t>
      </w:r>
      <w:r>
        <w:rPr>
          <w:rFonts w:ascii="宋体" w:hAnsi="宋体" w:cs="宋体"/>
          <w:color w:val="000000"/>
          <w:spacing w:val="0"/>
          <w:sz w:val="21"/>
        </w:rPr>
        <w:t>，使水稻植株增高。</w:t>
      </w:r>
    </w:p>
    <w:p w14:paraId="0F3AC5F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）对高秆水稻诱变处理后，控制赤霉素合成的基因发生如图所示突变，形成等位基因（用</w:t>
      </w:r>
      <w:r>
        <w:rPr>
          <w:rFonts w:ascii="Times New Roman"/>
          <w:color w:val="000000"/>
          <w:spacing w:val="0"/>
          <w:sz w:val="21"/>
        </w:rPr>
        <w:t xml:space="preserve"> A/a </w:t>
      </w:r>
      <w:r>
        <w:rPr>
          <w:rFonts w:ascii="宋体" w:hAnsi="宋体" w:cs="宋体"/>
          <w:color w:val="000000"/>
          <w:spacing w:val="-26"/>
          <w:sz w:val="21"/>
        </w:rPr>
        <w:t>表示）。</w:t>
      </w:r>
    </w:p>
    <w:p w14:paraId="380BDF4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1"/>
          <w:sz w:val="21"/>
        </w:rPr>
        <w:t>为选出杂合高秆水稻，提取水稻的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DNA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后，选择与序列</w:t>
      </w:r>
      <w:r>
        <w:rPr>
          <w:rFonts w:ascii="Times New Roman"/>
          <w:color w:val="000000"/>
          <w:spacing w:val="-1"/>
          <w:sz w:val="21"/>
        </w:rPr>
        <w:t>__________</w:t>
      </w:r>
      <w:r>
        <w:rPr>
          <w:rFonts w:ascii="宋体" w:hAnsi="宋体" w:cs="宋体"/>
          <w:color w:val="000000"/>
          <w:spacing w:val="-1"/>
          <w:sz w:val="21"/>
        </w:rPr>
        <w:t>（填序号）相同的碱基序列作为引物进</w:t>
      </w:r>
    </w:p>
    <w:p w14:paraId="5D65B74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行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PCR</w:t>
      </w:r>
      <w:r>
        <w:rPr>
          <w:rFonts w:ascii="宋体" w:hAnsi="宋体" w:cs="宋体"/>
          <w:color w:val="000000"/>
          <w:spacing w:val="-2"/>
          <w:sz w:val="21"/>
        </w:rPr>
        <w:t>，选取限制酶</w:t>
      </w:r>
      <w:r>
        <w:rPr>
          <w:rFonts w:ascii="Times New Roman"/>
          <w:color w:val="000000"/>
          <w:spacing w:val="0"/>
          <w:sz w:val="21"/>
        </w:rPr>
        <w:t>_________</w:t>
      </w:r>
      <w:r>
        <w:rPr>
          <w:rFonts w:ascii="宋体" w:hAnsi="宋体" w:cs="宋体"/>
          <w:color w:val="000000"/>
          <w:spacing w:val="-1"/>
          <w:sz w:val="21"/>
        </w:rPr>
        <w:t>剪切扩增产物后电泳，杂合子应出现</w:t>
      </w:r>
      <w:r>
        <w:rPr>
          <w:rFonts w:ascii="Times New Roman"/>
          <w:color w:val="000000"/>
          <w:spacing w:val="0"/>
          <w:sz w:val="21"/>
        </w:rPr>
        <w:t>__________</w:t>
      </w:r>
      <w:r>
        <w:rPr>
          <w:rFonts w:ascii="宋体" w:hAnsi="宋体" w:cs="宋体"/>
          <w:color w:val="000000"/>
          <w:spacing w:val="-1"/>
          <w:sz w:val="21"/>
        </w:rPr>
        <w:t>条电泳条带。将杂合子自交，</w:t>
      </w:r>
    </w:p>
    <w:p w14:paraId="1E1161B6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获得纯种矮秆正常产量的水稻甲。</w:t>
      </w:r>
    </w:p>
    <w:p w14:paraId="7A561DBF">
      <w:pPr>
        <w:spacing w:before="4594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-1"/>
          <w:sz w:val="21"/>
        </w:rPr>
        <w:t>）另一对等位基因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D/d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可影响水稻产量。有人用纯合高产的水稻乙与水稻甲杂交，</w:t>
      </w:r>
      <w:r>
        <w:rPr>
          <w:rFonts w:ascii="Times New Roman"/>
          <w:color w:val="000000"/>
          <w:spacing w:val="0"/>
          <w:sz w:val="21"/>
        </w:rPr>
        <w:t>F</w:t>
      </w:r>
      <w:r>
        <w:rPr>
          <w:rFonts w:ascii="Times New Roman"/>
          <w:color w:val="000000"/>
          <w:spacing w:val="0"/>
          <w:sz w:val="21"/>
          <w:vertAlign w:val="subscript"/>
        </w:rPr>
        <w:t>1</w:t>
      </w:r>
      <w:r>
        <w:rPr>
          <w:rFonts w:ascii="Times New Roman"/>
          <w:color w:val="000000"/>
          <w:spacing w:val="-4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全为高秆，但稻穗</w:t>
      </w:r>
    </w:p>
    <w:p w14:paraId="593CE97C">
      <w:pPr>
        <w:spacing w:before="199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出现部分空壳，导致产量降低。</w:t>
      </w:r>
      <w:r>
        <w:rPr>
          <w:rFonts w:ascii="Times New Roman"/>
          <w:color w:val="000000"/>
          <w:spacing w:val="0"/>
          <w:sz w:val="21"/>
        </w:rPr>
        <w:t>F</w:t>
      </w:r>
      <w:r>
        <w:rPr>
          <w:rFonts w:ascii="Times New Roman"/>
          <w:color w:val="000000"/>
          <w:spacing w:val="0"/>
          <w:sz w:val="21"/>
          <w:vertAlign w:val="subscript"/>
        </w:rPr>
        <w:t>1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自交产生的</w:t>
      </w:r>
      <w:r>
        <w:rPr>
          <w:rFonts w:ascii="Times New Roman"/>
          <w:color w:val="000000"/>
          <w:spacing w:val="0"/>
          <w:sz w:val="21"/>
        </w:rPr>
        <w:t xml:space="preserve"> F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表型及相对数量如表：</w:t>
      </w:r>
    </w:p>
    <w:p w14:paraId="7461EDC6">
      <w:pPr>
        <w:spacing w:before="313" w:after="0" w:line="220" w:lineRule="exact"/>
        <w:ind w:left="2036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高秆</w:t>
      </w:r>
      <w:r>
        <w:rPr>
          <w:rFonts w:ascii="Times New Roman"/>
          <w:color w:val="000000"/>
          <w:spacing w:val="202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矮秆</w:t>
      </w:r>
    </w:p>
    <w:p w14:paraId="355ADEF7">
      <w:pPr>
        <w:spacing w:before="97" w:after="0" w:line="220" w:lineRule="exact"/>
        <w:ind w:left="232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表型</w:t>
      </w:r>
    </w:p>
    <w:p w14:paraId="7DDCE459">
      <w:pPr>
        <w:spacing w:before="97" w:after="0" w:line="220" w:lineRule="exact"/>
        <w:ind w:left="1135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正常产量</w:t>
      </w:r>
      <w:r>
        <w:rPr>
          <w:rFonts w:ascii="Times New Roman"/>
          <w:color w:val="000000"/>
          <w:spacing w:val="21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低产</w:t>
      </w:r>
      <w:r>
        <w:rPr>
          <w:rFonts w:ascii="Times New Roman"/>
          <w:color w:val="000000"/>
          <w:spacing w:val="21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高产</w:t>
      </w:r>
      <w:r>
        <w:rPr>
          <w:rFonts w:ascii="Times New Roman"/>
          <w:color w:val="000000"/>
          <w:spacing w:val="21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正常产量</w:t>
      </w:r>
      <w:r>
        <w:rPr>
          <w:rFonts w:ascii="Times New Roman"/>
          <w:color w:val="000000"/>
          <w:spacing w:val="21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低产</w:t>
      </w:r>
      <w:r>
        <w:rPr>
          <w:rFonts w:ascii="Times New Roman"/>
          <w:color w:val="000000"/>
          <w:spacing w:val="21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高产</w:t>
      </w:r>
    </w:p>
    <w:p w14:paraId="37140F4F">
      <w:pPr>
        <w:spacing w:before="402" w:after="0" w:line="243" w:lineRule="exact"/>
        <w:ind w:left="22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相对数量</w:t>
      </w:r>
      <w:r>
        <w:rPr>
          <w:rFonts w:ascii="Times New Roman"/>
          <w:color w:val="000000"/>
          <w:spacing w:val="53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18</w:t>
      </w:r>
      <w:r>
        <w:rPr>
          <w:rFonts w:ascii="Times New Roman"/>
          <w:color w:val="000000"/>
          <w:spacing w:val="69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6</w:t>
      </w:r>
      <w:r>
        <w:rPr>
          <w:rFonts w:ascii="Times New Roman"/>
          <w:color w:val="000000"/>
          <w:spacing w:val="53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7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6</w:t>
      </w:r>
      <w:r>
        <w:rPr>
          <w:rFonts w:ascii="Times New Roman"/>
          <w:color w:val="000000"/>
          <w:spacing w:val="7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53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</w:p>
    <w:p w14:paraId="68CC3426">
      <w:pPr>
        <w:spacing w:before="31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①空壳的产生可能与水稻配子的育性有关。据表分析，</w:t>
      </w:r>
      <w:r>
        <w:rPr>
          <w:rFonts w:ascii="Times New Roman"/>
          <w:color w:val="000000"/>
          <w:spacing w:val="0"/>
          <w:sz w:val="21"/>
        </w:rPr>
        <w:t xml:space="preserve">A/a </w:t>
      </w:r>
      <w:r>
        <w:rPr>
          <w:rFonts w:ascii="宋体" w:hAnsi="宋体" w:cs="宋体"/>
          <w:color w:val="000000"/>
          <w:spacing w:val="0"/>
          <w:sz w:val="21"/>
        </w:rPr>
        <w:t>基因不会影响配子育性，判断依据是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234F836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②进一步研究发现，水稻中另一对等位基因</w:t>
      </w:r>
      <w:r>
        <w:rPr>
          <w:rFonts w:ascii="Times New Roman"/>
          <w:color w:val="000000"/>
          <w:spacing w:val="0"/>
          <w:sz w:val="21"/>
        </w:rPr>
        <w:t xml:space="preserve"> G/g </w:t>
      </w:r>
      <w:r>
        <w:rPr>
          <w:rFonts w:ascii="宋体" w:hAnsi="宋体" w:cs="宋体"/>
          <w:color w:val="000000"/>
          <w:spacing w:val="0"/>
          <w:sz w:val="21"/>
        </w:rPr>
        <w:t>影响相关基因的表达，从而影响配子育性。结合亲本基因</w:t>
      </w:r>
    </w:p>
    <w:p w14:paraId="0C2D868C">
      <w:pPr>
        <w:spacing w:before="378" w:after="0" w:line="243" w:lineRule="exact"/>
        <w:ind w:left="411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5BC25C5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B80A2E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315AF132">
      <w:pPr>
        <w:spacing w:before="0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39" o:spid="_x0000_s1065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40" o:spid="_x0000_s1066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41" o:spid="_x0000_s1067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型及</w:t>
      </w:r>
      <w:r>
        <w:rPr>
          <w:rFonts w:ascii="Times New Roman"/>
          <w:color w:val="000000"/>
          <w:spacing w:val="0"/>
          <w:sz w:val="21"/>
        </w:rPr>
        <w:t xml:space="preserve"> F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表型比例，解释</w:t>
      </w:r>
      <w:r>
        <w:rPr>
          <w:rFonts w:ascii="Times New Roman"/>
          <w:color w:val="000000"/>
          <w:spacing w:val="0"/>
          <w:sz w:val="21"/>
        </w:rPr>
        <w:t xml:space="preserve"> F</w:t>
      </w:r>
      <w:r>
        <w:rPr>
          <w:rFonts w:ascii="Times New Roman"/>
          <w:color w:val="000000"/>
          <w:spacing w:val="0"/>
          <w:sz w:val="21"/>
          <w:vertAlign w:val="subscript"/>
        </w:rPr>
        <w:t>1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水稻出现空壳的原因</w:t>
      </w:r>
      <w:r>
        <w:rPr>
          <w:rFonts w:ascii="Times New Roman"/>
          <w:color w:val="000000"/>
          <w:spacing w:val="0"/>
          <w:sz w:val="21"/>
        </w:rPr>
        <w:t>_________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F819A28">
      <w:pPr>
        <w:spacing w:before="199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1"/>
          <w:sz w:val="21"/>
        </w:rPr>
        <w:t>③应用分子生物学技术分析发现，</w:t>
      </w:r>
      <w:r>
        <w:rPr>
          <w:rFonts w:ascii="Times New Roman"/>
          <w:color w:val="000000"/>
          <w:spacing w:val="0"/>
          <w:sz w:val="21"/>
        </w:rPr>
        <w:t>F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6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群体中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G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的基因频率大于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g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的基因频率，则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F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6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矮秆高产植株的基因型</w:t>
      </w:r>
    </w:p>
    <w:p w14:paraId="07E2100C">
      <w:pPr>
        <w:spacing w:before="21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0"/>
          <w:sz w:val="21"/>
        </w:rPr>
        <w:t>_________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482744AE">
      <w:pPr>
        <w:spacing w:before="12752" w:after="0" w:line="243" w:lineRule="exact"/>
        <w:ind w:left="411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sectPr>
      <w:pgSz w:w="11900" w:h="16840"/>
      <w:pgMar w:top="1440" w:right="100" w:bottom="0" w:left="1080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  <w:embedRegular r:id="rId1" w:fontKey="{F2B7B822-A9DD-4B16-AF6D-07F9B7529333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CEADBA33-F879-4A33-91DA-1A86F9865573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EE172E47-02D9-45A7-AD0E-21B8F57CB9F7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4" w:fontKey="{6B3E069A-586D-4257-A5CC-62C22F2E6AE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5" w:fontKey="{BD987481-D6CE-490B-96B3-2D9ED3A28343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5A48CA58-8A5B-4339-B490-6C4B198B469F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7" w:fontKey="{07FAB2E3-A438-45F9-8A02-2031CACF6AEB}"/>
  </w:font>
  <w:font w:name="Dotum">
    <w:panose1 w:val="020B0600000101010101"/>
    <w:charset w:val="81"/>
    <w:family w:val="auto"/>
    <w:pitch w:val="default"/>
    <w:sig w:usb0="B00002AF" w:usb1="69D77CFB" w:usb2="00000030" w:usb3="00000000" w:csb0="4008009F" w:csb1="DFD70000"/>
    <w:embedRegular r:id="rId8" w:fontKey="{0C7DAE9F-D4C8-4CF0-8832-4C519D235D97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9" w:fontKey="{56F712A5-4CDD-4896-8FE3-D6586B2875D5}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6E917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087FB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F5A2C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  <w:rsid w:val="37CE6DBD"/>
    <w:rsid w:val="69F51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4294967295" w:semiHidden="0" w:name="heading 1"/>
    <w:lsdException w:unhideWhenUsed="0" w:uiPriority="4294967295" w:semiHidden="0" w:name="heading 2"/>
    <w:lsdException w:unhideWhenUsed="0" w:uiPriority="4294967295" w:semiHidden="0" w:name="heading 3"/>
    <w:lsdException w:unhideWhenUsed="0" w:uiPriority="4294967295" w:semiHidden="0" w:name="heading 4"/>
    <w:lsdException w:unhideWhenUsed="0" w:uiPriority="4294967295" w:semiHidden="0" w:name="heading 5"/>
    <w:lsdException w:unhideWhenUsed="0" w:uiPriority="4294967295" w:semiHidden="0" w:name="heading 6"/>
    <w:lsdException w:unhideWhenUsed="0" w:uiPriority="4294967295" w:semiHidden="0" w:name="heading 7"/>
    <w:lsdException w:unhideWhenUsed="0" w:uiPriority="4294967295" w:semiHidden="0" w:name="heading 8"/>
    <w:lsdException w:unhideWhenUsed="0" w:uiPriority="4294967295" w:semiHidden="0" w:name="heading 9"/>
    <w:lsdException w:unhideWhenUsed="0" w:uiPriority="4294967295" w:semiHidden="0" w:name="index 1"/>
    <w:lsdException w:unhideWhenUsed="0" w:uiPriority="4294967295" w:semiHidden="0" w:name="index 2"/>
    <w:lsdException w:unhideWhenUsed="0" w:uiPriority="4294967295" w:semiHidden="0" w:name="index 3"/>
    <w:lsdException w:unhideWhenUsed="0" w:uiPriority="4294967295" w:semiHidden="0" w:name="index 4"/>
    <w:lsdException w:unhideWhenUsed="0" w:uiPriority="4294967295" w:semiHidden="0" w:name="index 5"/>
    <w:lsdException w:unhideWhenUsed="0" w:uiPriority="4294967295" w:semiHidden="0" w:name="index 6"/>
    <w:lsdException w:unhideWhenUsed="0" w:uiPriority="4294967295" w:semiHidden="0" w:name="index 7"/>
    <w:lsdException w:unhideWhenUsed="0" w:uiPriority="4294967295" w:semiHidden="0" w:name="index 8"/>
    <w:lsdException w:unhideWhenUsed="0" w:uiPriority="4294967295" w:semiHidden="0" w:name="index 9"/>
    <w:lsdException w:unhideWhenUsed="0" w:uiPriority="4294967295" w:semiHidden="0" w:name="toc 1"/>
    <w:lsdException w:unhideWhenUsed="0" w:uiPriority="4294967295" w:semiHidden="0" w:name="toc 2"/>
    <w:lsdException w:unhideWhenUsed="0" w:uiPriority="4294967295" w:semiHidden="0" w:name="toc 3"/>
    <w:lsdException w:unhideWhenUsed="0" w:uiPriority="4294967295" w:semiHidden="0" w:name="toc 4"/>
    <w:lsdException w:unhideWhenUsed="0" w:uiPriority="4294967295" w:semiHidden="0" w:name="toc 5"/>
    <w:lsdException w:unhideWhenUsed="0" w:uiPriority="4294967295" w:semiHidden="0" w:name="toc 6"/>
    <w:lsdException w:unhideWhenUsed="0" w:uiPriority="4294967295" w:semiHidden="0" w:name="toc 7"/>
    <w:lsdException w:unhideWhenUsed="0" w:uiPriority="4294967295" w:semiHidden="0" w:name="toc 8"/>
    <w:lsdException w:unhideWhenUsed="0" w:uiPriority="4294967295" w:semiHidden="0" w:name="toc 9"/>
    <w:lsdException w:unhideWhenUsed="0" w:uiPriority="4294967295" w:semiHidden="0" w:name="Normal Indent"/>
    <w:lsdException w:unhideWhenUsed="0" w:uiPriority="4294967295" w:semiHidden="0" w:name="footnote text"/>
    <w:lsdException w:unhideWhenUsed="0" w:uiPriority="4294967295" w:semiHidden="0" w:name="annotation text"/>
    <w:lsdException w:qFormat="1" w:unhideWhenUsed="0" w:uiPriority="4294967295" w:semiHidden="0" w:name="header"/>
    <w:lsdException w:unhideWhenUsed="0" w:uiPriority="4294967295" w:semiHidden="0" w:name="footer"/>
    <w:lsdException w:unhideWhenUsed="0" w:uiPriority="4294967295" w:semiHidden="0" w:name="index heading"/>
    <w:lsdException w:unhideWhenUsed="0" w:uiPriority="4294967295" w:semiHidden="0" w:name="caption"/>
    <w:lsdException w:unhideWhenUsed="0" w:uiPriority="4294967295" w:semiHidden="0" w:name="table of figures"/>
    <w:lsdException w:unhideWhenUsed="0" w:uiPriority="4294967295" w:semiHidden="0" w:name="envelope address"/>
    <w:lsdException w:unhideWhenUsed="0" w:uiPriority="4294967295" w:semiHidden="0" w:name="envelope return"/>
    <w:lsdException w:unhideWhenUsed="0" w:uiPriority="4294967295" w:semiHidden="0" w:name="footnote reference"/>
    <w:lsdException w:unhideWhenUsed="0" w:uiPriority="4294967295" w:semiHidden="0" w:name="annotation reference"/>
    <w:lsdException w:unhideWhenUsed="0" w:uiPriority="4294967295" w:semiHidden="0" w:name="line number"/>
    <w:lsdException w:unhideWhenUsed="0" w:uiPriority="4294967295" w:semiHidden="0" w:name="page number"/>
    <w:lsdException w:unhideWhenUsed="0" w:uiPriority="4294967295" w:semiHidden="0" w:name="endnote reference"/>
    <w:lsdException w:unhideWhenUsed="0" w:uiPriority="4294967295" w:semiHidden="0" w:name="endnote text"/>
    <w:lsdException w:unhideWhenUsed="0" w:uiPriority="4294967295" w:semiHidden="0" w:name="table of authorities"/>
    <w:lsdException w:unhideWhenUsed="0" w:uiPriority="4294967295" w:semiHidden="0" w:name="macro"/>
    <w:lsdException w:unhideWhenUsed="0" w:uiPriority="4294967295" w:semiHidden="0" w:name="toa heading"/>
    <w:lsdException w:unhideWhenUsed="0" w:uiPriority="4294967295" w:semiHidden="0" w:name="List"/>
    <w:lsdException w:unhideWhenUsed="0" w:uiPriority="4294967295" w:semiHidden="0" w:name="List Bullet"/>
    <w:lsdException w:unhideWhenUsed="0" w:uiPriority="4294967295" w:semiHidden="0" w:name="List Number"/>
    <w:lsdException w:unhideWhenUsed="0" w:uiPriority="4294967295" w:semiHidden="0" w:name="List 2"/>
    <w:lsdException w:unhideWhenUsed="0" w:uiPriority="4294967295" w:semiHidden="0" w:name="List 3"/>
    <w:lsdException w:unhideWhenUsed="0" w:uiPriority="4294967295" w:semiHidden="0" w:name="List 4"/>
    <w:lsdException w:unhideWhenUsed="0" w:uiPriority="4294967295" w:semiHidden="0" w:name="List 5"/>
    <w:lsdException w:unhideWhenUsed="0" w:uiPriority="4294967295" w:semiHidden="0" w:name="List Bullet 2"/>
    <w:lsdException w:unhideWhenUsed="0" w:uiPriority="4294967295" w:semiHidden="0" w:name="List Bullet 3"/>
    <w:lsdException w:unhideWhenUsed="0" w:uiPriority="4294967295" w:semiHidden="0" w:name="List Bullet 4"/>
    <w:lsdException w:unhideWhenUsed="0" w:uiPriority="4294967295" w:semiHidden="0" w:name="List Bullet 5"/>
    <w:lsdException w:unhideWhenUsed="0" w:uiPriority="4294967295" w:semiHidden="0" w:name="List Number 2"/>
    <w:lsdException w:unhideWhenUsed="0" w:uiPriority="4294967295" w:semiHidden="0" w:name="List Number 3"/>
    <w:lsdException w:unhideWhenUsed="0" w:uiPriority="4294967295" w:semiHidden="0" w:name="List Number 4"/>
    <w:lsdException w:unhideWhenUsed="0" w:uiPriority="4294967295" w:semiHidden="0" w:name="List Number 5"/>
    <w:lsdException w:unhideWhenUsed="0" w:uiPriority="4294967295" w:semiHidden="0" w:name="Title"/>
    <w:lsdException w:unhideWhenUsed="0" w:uiPriority="4294967295" w:semiHidden="0" w:name="Closing"/>
    <w:lsdException w:unhideWhenUsed="0" w:uiPriority="4294967295" w:semiHidden="0" w:name="Signature"/>
    <w:lsdException w:unhideWhenUsed="0" w:uiPriority="0" w:name="Default Paragraph Font"/>
    <w:lsdException w:unhideWhenUsed="0" w:uiPriority="4294967295" w:semiHidden="0" w:name="Body Text"/>
    <w:lsdException w:unhideWhenUsed="0" w:uiPriority="4294967295" w:semiHidden="0" w:name="Body Text Indent"/>
    <w:lsdException w:unhideWhenUsed="0" w:uiPriority="4294967295" w:semiHidden="0" w:name="List Continue"/>
    <w:lsdException w:unhideWhenUsed="0" w:uiPriority="4294967295" w:semiHidden="0" w:name="List Continue 2"/>
    <w:lsdException w:unhideWhenUsed="0" w:uiPriority="4294967295" w:semiHidden="0" w:name="List Continue 3"/>
    <w:lsdException w:unhideWhenUsed="0" w:uiPriority="4294967295" w:semiHidden="0" w:name="List Continue 4"/>
    <w:lsdException w:unhideWhenUsed="0" w:uiPriority="4294967295" w:semiHidden="0" w:name="List Continue 5"/>
    <w:lsdException w:unhideWhenUsed="0" w:uiPriority="4294967295" w:semiHidden="0" w:name="Message Header"/>
    <w:lsdException w:unhideWhenUsed="0" w:uiPriority="4294967295" w:semiHidden="0" w:name="Subtitle"/>
    <w:lsdException w:unhideWhenUsed="0" w:uiPriority="4294967295" w:semiHidden="0" w:name="Salutation"/>
    <w:lsdException w:unhideWhenUsed="0" w:uiPriority="4294967295" w:semiHidden="0" w:name="Date"/>
    <w:lsdException w:unhideWhenUsed="0" w:uiPriority="4294967295" w:semiHidden="0" w:name="Body Text First Indent"/>
    <w:lsdException w:unhideWhenUsed="0" w:uiPriority="4294967295" w:semiHidden="0" w:name="Body Text First Indent 2"/>
    <w:lsdException w:unhideWhenUsed="0" w:uiPriority="4294967295" w:semiHidden="0" w:name="Note Heading"/>
    <w:lsdException w:unhideWhenUsed="0" w:uiPriority="4294967295" w:semiHidden="0" w:name="Body Text 2"/>
    <w:lsdException w:unhideWhenUsed="0" w:uiPriority="4294967295" w:semiHidden="0" w:name="Body Text 3"/>
    <w:lsdException w:unhideWhenUsed="0" w:uiPriority="4294967295" w:semiHidden="0" w:name="Body Text Indent 2"/>
    <w:lsdException w:unhideWhenUsed="0" w:uiPriority="4294967295" w:semiHidden="0" w:name="Body Text Indent 3"/>
    <w:lsdException w:unhideWhenUsed="0" w:uiPriority="4294967295" w:semiHidden="0" w:name="Block Text"/>
    <w:lsdException w:unhideWhenUsed="0" w:uiPriority="4294967295" w:semiHidden="0" w:name="Hyperlink"/>
    <w:lsdException w:unhideWhenUsed="0" w:uiPriority="4294967295" w:semiHidden="0" w:name="FollowedHyperlink"/>
    <w:lsdException w:unhideWhenUsed="0" w:uiPriority="4294967295" w:semiHidden="0" w:name="Strong"/>
    <w:lsdException w:unhideWhenUsed="0" w:uiPriority="4294967295" w:semiHidden="0" w:name="Emphasis"/>
    <w:lsdException w:unhideWhenUsed="0" w:uiPriority="4294967295" w:semiHidden="0" w:name="Document Map"/>
    <w:lsdException w:unhideWhenUsed="0" w:uiPriority="4294967295" w:semiHidden="0" w:name="Plain Text"/>
    <w:lsdException w:unhideWhenUsed="0" w:uiPriority="4294967295" w:semiHidden="0" w:name="E-mail Signature"/>
    <w:lsdException w:unhideWhenUsed="0" w:uiPriority="4294967295" w:semiHidden="0" w:name="Normal (Web)"/>
    <w:lsdException w:unhideWhenUsed="0" w:uiPriority="4294967295" w:semiHidden="0" w:name="HTML Acronym"/>
    <w:lsdException w:unhideWhenUsed="0" w:uiPriority="4294967295" w:semiHidden="0" w:name="HTML Address"/>
    <w:lsdException w:unhideWhenUsed="0" w:uiPriority="4294967295" w:semiHidden="0" w:name="HTML Cite"/>
    <w:lsdException w:unhideWhenUsed="0" w:uiPriority="4294967295" w:semiHidden="0" w:name="HTML Code"/>
    <w:lsdException w:unhideWhenUsed="0" w:uiPriority="4294967295" w:semiHidden="0" w:name="HTML Definition"/>
    <w:lsdException w:unhideWhenUsed="0" w:uiPriority="4294967295" w:semiHidden="0" w:name="HTML Keyboard"/>
    <w:lsdException w:unhideWhenUsed="0" w:uiPriority="4294967295" w:semiHidden="0" w:name="HTML Preformatted"/>
    <w:lsdException w:unhideWhenUsed="0" w:uiPriority="4294967295" w:semiHidden="0" w:name="HTML Sample"/>
    <w:lsdException w:unhideWhenUsed="0" w:uiPriority="4294967295" w:semiHidden="0" w:name="HTML Typewriter"/>
    <w:lsdException w:unhideWhenUsed="0" w:uiPriority="4294967295" w:semiHidden="0" w:name="HTML Variable"/>
    <w:lsdException w:qFormat="1" w:unhideWhenUsed="0" w:uiPriority="4294967295" w:semiHidden="0" w:name="Normal Table"/>
    <w:lsdException w:unhideWhenUsed="0" w:uiPriority="4294967295" w:semiHidden="0" w:name="annotation subject"/>
    <w:lsdException w:unhideWhenUsed="0" w:uiPriority="0" w:name="No List"/>
    <w:lsdException w:unhideWhenUsed="0" w:uiPriority="4294967295" w:semiHidden="0" w:name="Table Simple 1"/>
    <w:lsdException w:unhideWhenUsed="0" w:uiPriority="4294967295" w:semiHidden="0" w:name="Table Simple 2"/>
    <w:lsdException w:unhideWhenUsed="0" w:uiPriority="4294967295" w:semiHidden="0" w:name="Table Simple 3"/>
    <w:lsdException w:unhideWhenUsed="0" w:uiPriority="4294967295" w:semiHidden="0" w:name="Table Classic 1"/>
    <w:lsdException w:unhideWhenUsed="0" w:uiPriority="4294967295" w:semiHidden="0" w:name="Table Classic 2"/>
    <w:lsdException w:unhideWhenUsed="0" w:uiPriority="4294967295" w:semiHidden="0" w:name="Table Classic 3"/>
    <w:lsdException w:unhideWhenUsed="0" w:uiPriority="4294967295" w:semiHidden="0" w:name="Table Classic 4"/>
    <w:lsdException w:unhideWhenUsed="0" w:uiPriority="4294967295" w:semiHidden="0" w:name="Table Colorful 1"/>
    <w:lsdException w:unhideWhenUsed="0" w:uiPriority="4294967295" w:semiHidden="0" w:name="Table Colorful 2"/>
    <w:lsdException w:unhideWhenUsed="0" w:uiPriority="4294967295" w:semiHidden="0" w:name="Table Colorful 3"/>
    <w:lsdException w:unhideWhenUsed="0" w:uiPriority="4294967295" w:semiHidden="0" w:name="Table Columns 1"/>
    <w:lsdException w:unhideWhenUsed="0" w:uiPriority="4294967295" w:semiHidden="0" w:name="Table Columns 2"/>
    <w:lsdException w:unhideWhenUsed="0" w:uiPriority="4294967295" w:semiHidden="0" w:name="Table Columns 3"/>
    <w:lsdException w:unhideWhenUsed="0" w:uiPriority="4294967295" w:semiHidden="0" w:name="Table Columns 4"/>
    <w:lsdException w:unhideWhenUsed="0" w:uiPriority="4294967295" w:semiHidden="0" w:name="Table Columns 5"/>
    <w:lsdException w:unhideWhenUsed="0" w:uiPriority="4294967295" w:semiHidden="0" w:name="Table Grid 1"/>
    <w:lsdException w:unhideWhenUsed="0" w:uiPriority="4294967295" w:semiHidden="0" w:name="Table Grid 2"/>
    <w:lsdException w:unhideWhenUsed="0" w:uiPriority="4294967295" w:semiHidden="0" w:name="Table Grid 3"/>
    <w:lsdException w:unhideWhenUsed="0" w:uiPriority="4294967295" w:semiHidden="0" w:name="Table Grid 4"/>
    <w:lsdException w:unhideWhenUsed="0" w:uiPriority="4294967295" w:semiHidden="0" w:name="Table Grid 5"/>
    <w:lsdException w:unhideWhenUsed="0" w:uiPriority="4294967295" w:semiHidden="0" w:name="Table Grid 6"/>
    <w:lsdException w:unhideWhenUsed="0" w:uiPriority="4294967295" w:semiHidden="0" w:name="Table Grid 7"/>
    <w:lsdException w:unhideWhenUsed="0" w:uiPriority="4294967295" w:semiHidden="0" w:name="Table Grid 8"/>
    <w:lsdException w:unhideWhenUsed="0" w:uiPriority="4294967295" w:semiHidden="0" w:name="Table List 1"/>
    <w:lsdException w:unhideWhenUsed="0" w:uiPriority="4294967295" w:semiHidden="0" w:name="Table List 2"/>
    <w:lsdException w:unhideWhenUsed="0" w:uiPriority="4294967295" w:semiHidden="0" w:name="Table List 3"/>
    <w:lsdException w:unhideWhenUsed="0" w:uiPriority="4294967295" w:semiHidden="0" w:name="Table List 4"/>
    <w:lsdException w:unhideWhenUsed="0" w:uiPriority="4294967295" w:semiHidden="0" w:name="Table List 5"/>
    <w:lsdException w:unhideWhenUsed="0" w:uiPriority="4294967295" w:semiHidden="0" w:name="Table List 6"/>
    <w:lsdException w:unhideWhenUsed="0" w:uiPriority="4294967295" w:semiHidden="0" w:name="Table List 7"/>
    <w:lsdException w:unhideWhenUsed="0" w:uiPriority="4294967295" w:semiHidden="0" w:name="Table List 8"/>
    <w:lsdException w:unhideWhenUsed="0" w:uiPriority="4294967295" w:semiHidden="0" w:name="Table 3D effects 1"/>
    <w:lsdException w:unhideWhenUsed="0" w:uiPriority="4294967295" w:semiHidden="0" w:name="Table 3D effects 2"/>
    <w:lsdException w:unhideWhenUsed="0" w:uiPriority="4294967295" w:semiHidden="0" w:name="Table 3D effects 3"/>
    <w:lsdException w:unhideWhenUsed="0" w:uiPriority="4294967295" w:semiHidden="0" w:name="Table Contemporary"/>
    <w:lsdException w:unhideWhenUsed="0" w:uiPriority="4294967295" w:semiHidden="0" w:name="Table Elegant"/>
    <w:lsdException w:unhideWhenUsed="0" w:uiPriority="4294967295" w:semiHidden="0" w:name="Table Professional"/>
    <w:lsdException w:unhideWhenUsed="0" w:uiPriority="4294967295" w:semiHidden="0" w:name="Table Subtle 1"/>
    <w:lsdException w:unhideWhenUsed="0" w:uiPriority="4294967295" w:semiHidden="0" w:name="Table Subtle 2"/>
    <w:lsdException w:unhideWhenUsed="0" w:uiPriority="4294967295" w:semiHidden="0" w:name="Table Web 1"/>
    <w:lsdException w:unhideWhenUsed="0" w:uiPriority="4294967295" w:semiHidden="0" w:name="Table Web 2"/>
    <w:lsdException w:unhideWhenUsed="0" w:uiPriority="4294967295" w:semiHidden="0" w:name="Table Web 3"/>
    <w:lsdException w:unhideWhenUsed="0" w:uiPriority="4294967295" w:semiHidden="0" w:name="Balloon Text"/>
    <w:lsdException w:unhideWhenUsed="0" w:uiPriority="4294967295" w:semiHidden="0" w:name="Table Grid"/>
    <w:lsdException w:unhideWhenUsed="0" w:uiPriority="4294967295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link w:val="1"/>
    <w:semiHidden/>
    <w:uiPriority w:val="0"/>
  </w:style>
  <w:style w:type="table" w:default="1" w:styleId="4">
    <w:name w:val="Normal Table"/>
    <w:qFormat/>
    <w:uiPriority w:val="4294967295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6">
    <w:name w:val="No List"/>
    <w:semiHidden/>
    <w:uiPriority w:val="0"/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footer"/>
    <w:basedOn w:val="1"/>
    <w:uiPriority w:val="429496729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4294967295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1" Type="http://schemas.openxmlformats.org/officeDocument/2006/relationships/fontTable" Target="fontTable.xml"/><Relationship Id="rId30" Type="http://schemas.openxmlformats.org/officeDocument/2006/relationships/customXml" Target="../customXml/item1.xml"/><Relationship Id="rId3" Type="http://schemas.openxmlformats.org/officeDocument/2006/relationships/footnotes" Target="footnotes.xml"/><Relationship Id="rId29" Type="http://schemas.openxmlformats.org/officeDocument/2006/relationships/image" Target="media/image19.jpeg"/><Relationship Id="rId28" Type="http://schemas.openxmlformats.org/officeDocument/2006/relationships/image" Target="media/image18.jpeg"/><Relationship Id="rId27" Type="http://schemas.openxmlformats.org/officeDocument/2006/relationships/image" Target="media/image17.jpeg"/><Relationship Id="rId26" Type="http://schemas.openxmlformats.org/officeDocument/2006/relationships/image" Target="media/image16.jpeg"/><Relationship Id="rId25" Type="http://schemas.openxmlformats.org/officeDocument/2006/relationships/image" Target="media/image15.jpeg"/><Relationship Id="rId24" Type="http://schemas.openxmlformats.org/officeDocument/2006/relationships/image" Target="media/image14.jpeg"/><Relationship Id="rId23" Type="http://schemas.openxmlformats.org/officeDocument/2006/relationships/image" Target="media/image13.jpeg"/><Relationship Id="rId22" Type="http://schemas.openxmlformats.org/officeDocument/2006/relationships/image" Target="media/image12.jpeg"/><Relationship Id="rId21" Type="http://schemas.openxmlformats.org/officeDocument/2006/relationships/image" Target="media/image11.jpeg"/><Relationship Id="rId20" Type="http://schemas.openxmlformats.org/officeDocument/2006/relationships/image" Target="media/image10.jpeg"/><Relationship Id="rId2" Type="http://schemas.openxmlformats.org/officeDocument/2006/relationships/settings" Target="settings.xml"/><Relationship Id="rId19" Type="http://schemas.openxmlformats.org/officeDocument/2006/relationships/image" Target="media/image9.jpeg"/><Relationship Id="rId18" Type="http://schemas.openxmlformats.org/officeDocument/2006/relationships/image" Target="media/image8.jpeg"/><Relationship Id="rId17" Type="http://schemas.openxmlformats.org/officeDocument/2006/relationships/image" Target="media/image7.jpeg"/><Relationship Id="rId16" Type="http://schemas.openxmlformats.org/officeDocument/2006/relationships/image" Target="media/image6.jpeg"/><Relationship Id="rId15" Type="http://schemas.openxmlformats.org/officeDocument/2006/relationships/image" Target="media/image5.jpeg"/><Relationship Id="rId14" Type="http://schemas.openxmlformats.org/officeDocument/2006/relationships/image" Target="media/image4.jpeg"/><Relationship Id="rId13" Type="http://schemas.openxmlformats.org/officeDocument/2006/relationships/image" Target="media/image3.jpeg"/><Relationship Id="rId12" Type="http://schemas.openxmlformats.org/officeDocument/2006/relationships/image" Target="media/image2.jpeg"/><Relationship Id="rId11" Type="http://schemas.openxmlformats.org/officeDocument/2006/relationships/image" Target="media/image1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22</Pages>
  <Words>5017</Words>
  <Characters>6889</Characters>
  <Lines>0</Lines>
  <Paragraphs>207</Paragraphs>
  <TotalTime>3</TotalTime>
  <ScaleCrop>false</ScaleCrop>
  <LinksUpToDate>false</LinksUpToDate>
  <CharactersWithSpaces>7297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2026-06-22T10:10:00Z</dcterms:created>
  <dc:creator>Administrator</dc:creator>
  <cp:lastModifiedBy>上帝掷骰子吗</cp:lastModifiedBy>
  <dcterms:modified xsi:type="dcterms:W3CDTF">2026-09-18T16:49:47Z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F99407F140794D5C872C63E8E6FD08B1_12</vt:lpwstr>
  </property>
</Properties>
</file>