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63F0D6">
      <w:pPr>
        <w:spacing w:before="0" w:after="0" w:line="325" w:lineRule="exact"/>
        <w:ind w:left="4394" w:right="0" w:firstLine="0"/>
        <w:jc w:val="left"/>
        <w:rPr>
          <w:rFonts w:ascii="Times New Roman"/>
          <w:color w:val="000000"/>
          <w:spacing w:val="0"/>
          <w:sz w:val="32"/>
        </w:rPr>
      </w:pPr>
      <w:r>
        <w:pict>
          <v:shape id="_x00000" o:spid="_x0000_s1026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" o:title=""/>
            <o:lock v:ext="edit" aspectratio="t"/>
          </v:shape>
        </w:pict>
      </w:r>
      <w:r>
        <w:pict>
          <v:shape id="_x00001" o:spid="_x0000_s1027" o:spt="75" type="#_x0000_t75" style="position:absolute;left:0pt;margin-left:212.1pt;margin-top:473.25pt;height:5.75pt;width: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pict>
          <v:shape id="_x00002" o:spid="_x0000_s1028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3" o:spid="_x0000_s1029" o:spt="75" type="#_x0000_t75" style="position:absolute;left:0pt;margin-left:53pt;margin-top:312.7pt;height:83.8pt;width:106.3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4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32"/>
        </w:rPr>
        <w:t>生物学</w:t>
      </w:r>
    </w:p>
    <w:p w14:paraId="4F8BB576">
      <w:pPr>
        <w:spacing w:before="244" w:after="0" w:line="276" w:lineRule="exact"/>
        <w:ind w:left="2769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本试卷满分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100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2"/>
          <w:sz w:val="24"/>
        </w:rPr>
        <w:t>分，考试用时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75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0"/>
          <w:sz w:val="24"/>
        </w:rPr>
        <w:t>分钟。</w:t>
      </w:r>
    </w:p>
    <w:p w14:paraId="4DEA52A4">
      <w:pPr>
        <w:spacing w:before="192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1"/>
          <w:sz w:val="24"/>
        </w:rPr>
        <w:t>一、选择题：本大题共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 xml:space="preserve">16 </w:t>
      </w:r>
      <w:r>
        <w:rPr>
          <w:rFonts w:ascii="宋体" w:hAnsi="宋体" w:cs="宋体"/>
          <w:color w:val="000000"/>
          <w:spacing w:val="2"/>
          <w:sz w:val="24"/>
        </w:rPr>
        <w:t>小题，共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 xml:space="preserve">40 </w:t>
      </w:r>
      <w:r>
        <w:rPr>
          <w:rFonts w:ascii="宋体" w:hAnsi="宋体" w:cs="宋体"/>
          <w:color w:val="000000"/>
          <w:spacing w:val="2"/>
          <w:sz w:val="24"/>
        </w:rPr>
        <w:t>分。第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1</w:t>
      </w:r>
      <w:r>
        <w:rPr>
          <w:rFonts w:ascii="宋体" w:hAnsi="宋体" w:cs="宋体"/>
          <w:color w:val="000000"/>
          <w:spacing w:val="7"/>
          <w:sz w:val="24"/>
        </w:rPr>
        <w:t>～</w:t>
      </w:r>
      <w:r>
        <w:rPr>
          <w:rFonts w:ascii="Times New Roman"/>
          <w:b/>
          <w:color w:val="000000"/>
          <w:spacing w:val="-1"/>
          <w:sz w:val="24"/>
        </w:rPr>
        <w:t xml:space="preserve">12 </w:t>
      </w:r>
      <w:r>
        <w:rPr>
          <w:rFonts w:ascii="宋体" w:hAnsi="宋体" w:cs="宋体"/>
          <w:color w:val="000000"/>
          <w:spacing w:val="1"/>
          <w:sz w:val="24"/>
        </w:rPr>
        <w:t>小题，每小题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宋体" w:hAnsi="宋体" w:cs="宋体"/>
          <w:color w:val="000000"/>
          <w:spacing w:val="2"/>
          <w:sz w:val="24"/>
        </w:rPr>
        <w:t>分；第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13</w:t>
      </w:r>
      <w:r>
        <w:rPr>
          <w:rFonts w:ascii="宋体" w:hAnsi="宋体" w:cs="宋体"/>
          <w:color w:val="000000"/>
          <w:spacing w:val="7"/>
          <w:sz w:val="24"/>
        </w:rPr>
        <w:t>～</w:t>
      </w:r>
      <w:r>
        <w:rPr>
          <w:rFonts w:ascii="Times New Roman"/>
          <w:b/>
          <w:color w:val="000000"/>
          <w:spacing w:val="-1"/>
          <w:sz w:val="24"/>
        </w:rPr>
        <w:t xml:space="preserve">16 </w:t>
      </w:r>
      <w:r>
        <w:rPr>
          <w:rFonts w:ascii="宋体" w:hAnsi="宋体" w:cs="宋体"/>
          <w:color w:val="000000"/>
          <w:spacing w:val="2"/>
          <w:sz w:val="24"/>
        </w:rPr>
        <w:t>小题，每</w:t>
      </w:r>
    </w:p>
    <w:p w14:paraId="0C406B4E">
      <w:pPr>
        <w:spacing w:before="192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小题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4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宋体" w:hAnsi="宋体" w:cs="宋体"/>
          <w:color w:val="000000"/>
          <w:spacing w:val="1"/>
          <w:sz w:val="24"/>
        </w:rPr>
        <w:t>分。在每小题列出的四个选项中，只有一项符合题目要求。</w:t>
      </w:r>
    </w:p>
    <w:p w14:paraId="17F3CDC6">
      <w:pPr>
        <w:spacing w:before="209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我国大力推进生态文明建设，促进人与自然和谐共生。下列叙述错误的是（</w:t>
      </w:r>
      <w:r>
        <w:rPr>
          <w:rFonts w:ascii="Times New Roman"/>
          <w:color w:val="000000"/>
          <w:spacing w:val="47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0A3A5BD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生态环境法典的颁布，有利于对生态环境的系统性保护</w:t>
      </w:r>
    </w:p>
    <w:p w14:paraId="5FEE23D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国家公园和国家植物园的建立，可有效保护生物多样性</w:t>
      </w:r>
    </w:p>
    <w:p w14:paraId="38170042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退耕还林工程的实施，有利于区域可持续发展</w:t>
      </w:r>
    </w:p>
    <w:p w14:paraId="15C0075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绿色生活方式的倡导和践行，增大了生态足迹</w:t>
      </w:r>
    </w:p>
    <w:p w14:paraId="442BE807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紫外线辐射能使</w:t>
      </w:r>
      <w:r>
        <w:rPr>
          <w:rFonts w:ascii="Times New Roman"/>
          <w:color w:val="000000"/>
          <w:spacing w:val="0"/>
          <w:sz w:val="21"/>
        </w:rPr>
        <w:t xml:space="preserve"> DNA </w:t>
      </w:r>
      <w:r>
        <w:rPr>
          <w:rFonts w:ascii="宋体" w:hAnsi="宋体" w:cs="宋体"/>
          <w:color w:val="000000"/>
          <w:spacing w:val="-4"/>
          <w:sz w:val="21"/>
        </w:rPr>
        <w:t>分子形成异常化学键（如图）。该异常化学键发生在（</w:t>
      </w:r>
      <w:r>
        <w:rPr>
          <w:rFonts w:ascii="Times New Roman"/>
          <w:color w:val="000000"/>
          <w:spacing w:val="47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5072AAB4">
      <w:pPr>
        <w:spacing w:before="2099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碱基</w:t>
      </w:r>
      <w:r>
        <w:rPr>
          <w:rFonts w:ascii="Times New Roman"/>
          <w:color w:val="000000"/>
          <w:spacing w:val="165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磷酸</w:t>
      </w:r>
      <w:r>
        <w:rPr>
          <w:rFonts w:ascii="Times New Roman"/>
          <w:color w:val="000000"/>
          <w:spacing w:val="166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脱氧核糖</w:t>
      </w:r>
      <w:r>
        <w:rPr>
          <w:rFonts w:ascii="Times New Roman"/>
          <w:color w:val="000000"/>
          <w:spacing w:val="124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核糖</w:t>
      </w:r>
    </w:p>
    <w:p w14:paraId="396F40FA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3. 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宋体" w:hAnsi="宋体" w:cs="宋体"/>
          <w:color w:val="000000"/>
          <w:spacing w:val="0"/>
          <w:sz w:val="21"/>
        </w:rPr>
        <w:t>酵母菌的纯培养</w:t>
      </w:r>
      <w:r>
        <w:rPr>
          <w:rFonts w:ascii="Times New Roman" w:hAnsi="Times New Roman" w:cs="Times New Roman"/>
          <w:color w:val="000000"/>
          <w:spacing w:val="0"/>
          <w:sz w:val="21"/>
        </w:rPr>
        <w:t>”</w:t>
      </w:r>
      <w:r>
        <w:rPr>
          <w:rFonts w:ascii="宋体" w:hAnsi="宋体" w:cs="宋体"/>
          <w:color w:val="000000"/>
          <w:spacing w:val="0"/>
          <w:sz w:val="21"/>
        </w:rPr>
        <w:t>实验中，下列操作不规范的是（</w:t>
      </w:r>
      <w:r>
        <w:rPr>
          <w:rFonts w:ascii="Times New Roman"/>
          <w:color w:val="000000"/>
          <w:spacing w:val="47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67DC0B4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在火焰旁冷却接种环</w:t>
      </w:r>
      <w:r>
        <w:rPr>
          <w:rFonts w:ascii="Times New Roman"/>
          <w:color w:val="000000"/>
          <w:spacing w:val="262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试管棉塞放超净台上</w:t>
      </w:r>
    </w:p>
    <w:p w14:paraId="5265595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接种前灼烧试管口</w:t>
      </w:r>
      <w:r>
        <w:rPr>
          <w:rFonts w:ascii="Times New Roman"/>
          <w:color w:val="000000"/>
          <w:spacing w:val="284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划线时轻柔而迅速</w:t>
      </w:r>
    </w:p>
    <w:p w14:paraId="3D6F3A1C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4.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被子植物花粉发育过程中，小孢子会发生一次有丝分裂，形成一个营养细胞（未来发育成花粉管）和一</w:t>
      </w:r>
    </w:p>
    <w:p w14:paraId="59A4DF21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5"/>
          <w:sz w:val="21"/>
        </w:rPr>
        <w:t>个生殖细胞（未来发育成精子），这两个细胞（</w:t>
      </w:r>
      <w:r>
        <w:rPr>
          <w:rFonts w:ascii="Times New Roman"/>
          <w:color w:val="000000"/>
          <w:spacing w:val="47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33FF8379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基因组序列不同</w:t>
      </w:r>
      <w:r>
        <w:rPr>
          <w:rFonts w:ascii="Times New Roman"/>
          <w:color w:val="000000"/>
          <w:spacing w:val="304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来源不同</w:t>
      </w:r>
    </w:p>
    <w:p w14:paraId="0B954C65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染色体数目相同</w:t>
      </w:r>
      <w:r>
        <w:rPr>
          <w:rFonts w:ascii="Times New Roman"/>
          <w:color w:val="000000"/>
          <w:spacing w:val="305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表达的基因相同</w:t>
      </w:r>
    </w:p>
    <w:p w14:paraId="0FD7688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5.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用玻璃纸（半透膜）密封长颈漏斗口，向漏斗内注入蔗糖溶液，将装置浸入盛有清水的烧杯中并使漏斗</w:t>
      </w:r>
    </w:p>
    <w:p w14:paraId="764EDB63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管内外液面等高。据图推测，一段时间后漏斗内外分子的分布情况可能是（</w:t>
      </w:r>
      <w:r>
        <w:rPr>
          <w:rFonts w:ascii="Times New Roman"/>
          <w:color w:val="000000"/>
          <w:spacing w:val="47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4AEFDC5C">
      <w:pPr>
        <w:spacing w:before="2773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1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10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1D30EEE5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7B01BCE8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50312323">
      <w:pPr>
        <w:sectPr>
          <w:headerReference r:id="rId6" w:type="first"/>
          <w:footerReference r:id="rId9" w:type="first"/>
          <w:headerReference r:id="rId4" w:type="default"/>
          <w:footerReference r:id="rId7" w:type="default"/>
          <w:headerReference r:id="rId5" w:type="even"/>
          <w:footerReference r:id="rId8" w:type="even"/>
          <w:pgSz w:w="11900" w:h="16840"/>
          <w:pgMar w:top="1479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6D3943E4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7940432D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4" o:spid="_x0000_s1030" o:spt="75" type="#_x0000_t75" style="position:absolute;left:0pt;margin-left:53pt;margin-top:70.3pt;height:147.6pt;width:414.6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5" o:title=""/>
            <o:lock v:ext="edit" aspectratio="t"/>
          </v:shape>
        </w:pict>
      </w:r>
      <w:r>
        <w:pict>
          <v:shape id="_x00005" o:spid="_x0000_s1031" o:spt="75" type="#_x0000_t75" style="position:absolute;left:0pt;margin-left:212.1pt;margin-top:473.25pt;height:5.75pt;width: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pict>
          <v:shape id="_x00006" o:spid="_x0000_s1032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7" o:spid="_x0000_s1033" o:spt="75" type="#_x0000_t75" style="position:absolute;left:0pt;margin-left:68.8pt;margin-top:224.1pt;height:42.5pt;width:61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6" o:title=""/>
            <o:lock v:ext="edit" aspectratio="t"/>
          </v:shape>
        </w:pict>
      </w:r>
      <w:r>
        <w:pict>
          <v:shape id="_x00008" o:spid="_x0000_s1034" o:spt="75" type="#_x0000_t75" style="position:absolute;left:0pt;margin-left:189.6pt;margin-top:224.1pt;height:42.5pt;width:40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7" o:title=""/>
            <o:lock v:ext="edit" aspectratio="t"/>
          </v:shape>
        </w:pict>
      </w:r>
      <w:r>
        <w:pict>
          <v:shape id="_x00009" o:spid="_x0000_s1035" o:spt="75" type="#_x0000_t75" style="position:absolute;left:0pt;margin-left:311.85pt;margin-top:225.6pt;height:40.25pt;width:41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8" o:title=""/>
            <o:lock v:ext="edit" aspectratio="t"/>
          </v:shape>
        </w:pict>
      </w:r>
      <w:r>
        <w:pict>
          <v:shape id="_x000010" o:spid="_x0000_s1036" o:spt="75" type="#_x0000_t75" style="position:absolute;left:0pt;margin-left:434.2pt;margin-top:225.6pt;height:40.25pt;width:41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9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218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219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219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</w:p>
    <w:p w14:paraId="5185EB09">
      <w:pPr>
        <w:spacing w:before="446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6.</w:t>
      </w:r>
      <w:r>
        <w:rPr>
          <w:rFonts w:ascii="Times New Roman"/>
          <w:color w:val="000000"/>
          <w:spacing w:val="59"/>
          <w:sz w:val="21"/>
        </w:rPr>
        <w:t xml:space="preserve"> </w:t>
      </w:r>
      <w:r>
        <w:rPr>
          <w:rFonts w:ascii="宋体" w:hAnsi="宋体" w:cs="宋体"/>
          <w:color w:val="000000"/>
          <w:spacing w:val="6"/>
          <w:sz w:val="21"/>
        </w:rPr>
        <w:t>某种硝化细菌能将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NH</w:t>
      </w:r>
      <w:r>
        <w:rPr>
          <w:rFonts w:ascii="Times New Roman"/>
          <w:color w:val="000000"/>
          <w:spacing w:val="0"/>
          <w:sz w:val="21"/>
          <w:vertAlign w:val="subscript"/>
        </w:rPr>
        <w:t>3</w:t>
      </w:r>
      <w:r>
        <w:rPr>
          <w:rFonts w:ascii="Times New Roman"/>
          <w:color w:val="000000"/>
          <w:spacing w:val="-2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6"/>
          <w:sz w:val="21"/>
        </w:rPr>
        <w:t>氧化形成</w:t>
      </w:r>
      <w:r>
        <w:rPr>
          <w:rFonts w:ascii="Times New Roman"/>
          <w:color w:val="000000"/>
          <w:spacing w:val="0"/>
          <w:sz w:val="21"/>
        </w:rPr>
        <w:t xml:space="preserve"> HNO</w:t>
      </w:r>
      <w:r>
        <w:rPr>
          <w:rFonts w:ascii="Times New Roman"/>
          <w:color w:val="000000"/>
          <w:spacing w:val="-2"/>
          <w:sz w:val="21"/>
          <w:vertAlign w:val="subscript"/>
        </w:rPr>
        <w:t>2</w:t>
      </w:r>
      <w:r>
        <w:rPr>
          <w:rFonts w:ascii="宋体" w:hAnsi="宋体" w:cs="宋体"/>
          <w:color w:val="000000"/>
          <w:spacing w:val="6"/>
          <w:sz w:val="21"/>
        </w:rPr>
        <w:t>，并利用该过程释放的能量将无机物合成为有机物。该种细菌</w:t>
      </w:r>
    </w:p>
    <w:p w14:paraId="29CCA73A">
      <w:pPr>
        <w:spacing w:before="223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47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79015FBB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具有核膜</w:t>
      </w:r>
      <w:r>
        <w:rPr>
          <w:rFonts w:ascii="Times New Roman"/>
          <w:color w:val="000000"/>
          <w:spacing w:val="367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为异养生物</w:t>
      </w:r>
    </w:p>
    <w:p w14:paraId="6402F0AF">
      <w:pPr>
        <w:spacing w:before="212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可利用光能</w:t>
      </w:r>
      <w:r>
        <w:rPr>
          <w:rFonts w:ascii="Times New Roman"/>
          <w:color w:val="000000"/>
          <w:spacing w:val="347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可固定</w:t>
      </w:r>
      <w:r>
        <w:rPr>
          <w:rFonts w:ascii="Times New Roman"/>
          <w:color w:val="000000"/>
          <w:spacing w:val="0"/>
          <w:sz w:val="21"/>
        </w:rPr>
        <w:t xml:space="preserve"> CO</w:t>
      </w:r>
      <w:r>
        <w:rPr>
          <w:rFonts w:ascii="Times New Roman"/>
          <w:color w:val="000000"/>
          <w:spacing w:val="0"/>
          <w:sz w:val="21"/>
          <w:vertAlign w:val="subscript"/>
        </w:rPr>
        <w:t>2</w:t>
      </w:r>
    </w:p>
    <w:p w14:paraId="17BDF404">
      <w:pPr>
        <w:spacing w:before="21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7.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4"/>
          <w:sz w:val="21"/>
        </w:rPr>
        <w:t>研究表明，运动可促进骨骼肌细胞释放肌因子（一类蛋白质），进而诱导黑色素瘤细胞凋亡。下列叙述错</w:t>
      </w:r>
    </w:p>
    <w:p w14:paraId="2C12B896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误的是（</w:t>
      </w:r>
      <w:r>
        <w:rPr>
          <w:rFonts w:ascii="Times New Roman"/>
          <w:color w:val="000000"/>
          <w:spacing w:val="47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332AB230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肌因子可通过胞吐方式释放到内环境</w:t>
      </w:r>
    </w:p>
    <w:p w14:paraId="4D23C212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肌因子随体液定向运输至黑色素瘤细胞</w:t>
      </w:r>
    </w:p>
    <w:p w14:paraId="6089BCBF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诱导黑色素瘤细胞凋亡有助于维持稳态</w:t>
      </w:r>
    </w:p>
    <w:p w14:paraId="45B8E530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该过程说明骨骼肌细胞具有内分泌功能</w:t>
      </w:r>
    </w:p>
    <w:p w14:paraId="14ED0C9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8.</w:t>
      </w:r>
      <w:r>
        <w:rPr>
          <w:rFonts w:ascii="Times New Roman"/>
          <w:color w:val="000000"/>
          <w:spacing w:val="55"/>
          <w:sz w:val="21"/>
        </w:rPr>
        <w:t xml:space="preserve"> </w:t>
      </w:r>
      <w:r>
        <w:rPr>
          <w:rFonts w:ascii="宋体" w:hAnsi="宋体" w:cs="宋体"/>
          <w:color w:val="000000"/>
          <w:spacing w:val="2"/>
          <w:sz w:val="21"/>
        </w:rPr>
        <w:t>艾弗里等人将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DNA </w:t>
      </w:r>
      <w:r>
        <w:rPr>
          <w:rFonts w:ascii="宋体" w:hAnsi="宋体" w:cs="宋体"/>
          <w:color w:val="000000"/>
          <w:spacing w:val="2"/>
          <w:sz w:val="21"/>
        </w:rPr>
        <w:t>酶加入细胞提取物探究生物的遗传物质。下列科学史实验运用的自变量控制原理与</w:t>
      </w:r>
    </w:p>
    <w:p w14:paraId="15A40760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该实验相同的是（</w:t>
      </w:r>
      <w:r>
        <w:rPr>
          <w:rFonts w:ascii="Times New Roman"/>
          <w:color w:val="000000"/>
          <w:spacing w:val="47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36B8873A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将胰岛提取物注入被摘除胰腺的狗探究糖尿病的治疗</w:t>
      </w:r>
    </w:p>
    <w:p w14:paraId="46ED8ABB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移植睾丸到被阉割的公鸡探究雄激素的分泌器官</w:t>
      </w:r>
    </w:p>
    <w:p w14:paraId="4A7F7D1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用锡箔罩住金丝雀虉草胚芽鞘尖端探究植物向光性原因</w:t>
      </w:r>
    </w:p>
    <w:p w14:paraId="3631F0F1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向水稻幼苗喷施赤霉菌培养基滤液探究恶苗病成因</w:t>
      </w:r>
    </w:p>
    <w:p w14:paraId="01608B19">
      <w:pPr>
        <w:spacing w:before="212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9.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鲫鱼骨骼肌细胞缺氧时，葡萄糖在细胞质基质分解产生的丙酮酸在线粒体内转化为乙醛和</w:t>
      </w:r>
      <w:r>
        <w:rPr>
          <w:rFonts w:ascii="Times New Roman"/>
          <w:color w:val="000000"/>
          <w:spacing w:val="0"/>
          <w:sz w:val="21"/>
        </w:rPr>
        <w:t xml:space="preserve"> CO</w:t>
      </w:r>
      <w:r>
        <w:rPr>
          <w:rFonts w:ascii="Times New Roman"/>
          <w:color w:val="000000"/>
          <w:spacing w:val="-2"/>
          <w:sz w:val="21"/>
          <w:vertAlign w:val="subscript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，乙醛进</w:t>
      </w:r>
    </w:p>
    <w:p w14:paraId="0C9527E6">
      <w:pPr>
        <w:spacing w:before="223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入细胞质基质转化为乙醇，最终经鳃排出。上述过程与人体细胞无氧呼吸相比，两者（</w:t>
      </w:r>
      <w:r>
        <w:rPr>
          <w:rFonts w:ascii="Times New Roman"/>
          <w:color w:val="000000"/>
          <w:spacing w:val="47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15FD4F30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第一阶段反应都相同</w:t>
      </w:r>
      <w:r>
        <w:rPr>
          <w:rFonts w:ascii="Times New Roman"/>
          <w:color w:val="000000"/>
          <w:spacing w:val="262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反应的场所都相同</w:t>
      </w:r>
    </w:p>
    <w:p w14:paraId="7CF7E3B6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最终产物都相同</w:t>
      </w:r>
      <w:r>
        <w:rPr>
          <w:rFonts w:ascii="Times New Roman"/>
          <w:color w:val="000000"/>
          <w:spacing w:val="305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催化反应的酶都相同</w:t>
      </w:r>
    </w:p>
    <w:p w14:paraId="32BB86B8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10.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广东省众多的古村落周边常有被充分保护的防护林，可供村民、游客休憩。下列叙述错误的是（</w:t>
      </w:r>
      <w:r>
        <w:rPr>
          <w:rFonts w:ascii="Times New Roman"/>
          <w:color w:val="000000"/>
          <w:spacing w:val="47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5D4C8185">
      <w:pPr>
        <w:spacing w:before="264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2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10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15EDF594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0989A0B1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591518C6">
      <w:pPr>
        <w:sectPr>
          <w:pgSz w:w="11900" w:h="16840"/>
          <w:pgMar w:top="4796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74DA8B6B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6168949C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11" o:spid="_x0000_s1037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12" o:spid="_x0000_s1038" o:spt="75" type="#_x0000_t75" style="position:absolute;left:0pt;margin-left:53pt;margin-top:375.7pt;height:177.6pt;width:351.6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0" o:title=""/>
            <o:lock v:ext="edit" aspectratio="t"/>
          </v:shape>
        </w:pict>
      </w:r>
      <w:r>
        <w:pict>
          <v:shape id="_x000013" o:spid="_x0000_s1039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1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光照的差异是防护林群落中植物垂直分层的主要原因</w:t>
      </w:r>
    </w:p>
    <w:p w14:paraId="716ECD81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防护林最终会演替为与环境相适应的稳定群落</w:t>
      </w:r>
    </w:p>
    <w:p w14:paraId="039145B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清除外来入侵物种不利于防护林物种多样性维持</w:t>
      </w:r>
    </w:p>
    <w:p w14:paraId="00C3EC7C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若干扰超过一定限度，防护林生态系统稳定性会下降</w:t>
      </w:r>
    </w:p>
    <w:p w14:paraId="7D8CD09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-4"/>
          <w:sz w:val="21"/>
        </w:rPr>
        <w:t>11.</w:t>
      </w:r>
      <w:r>
        <w:rPr>
          <w:rFonts w:ascii="Times New Roman"/>
          <w:color w:val="000000"/>
          <w:spacing w:val="5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我国科学家通过对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18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种长臂猿的基因组进行测序，发现其长臂性状均与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SHH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基因中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205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个碱基对的缺</w:t>
      </w:r>
    </w:p>
    <w:p w14:paraId="7369BA51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失有关。下列分析正确的是（</w:t>
      </w:r>
      <w:r>
        <w:rPr>
          <w:rFonts w:ascii="Times New Roman"/>
          <w:color w:val="000000"/>
          <w:spacing w:val="47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67C5B794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长臂性状的产生是环境定向诱导基因突变的结果</w:t>
      </w:r>
    </w:p>
    <w:p w14:paraId="36F1C89B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B. SHH </w:t>
      </w:r>
      <w:r>
        <w:rPr>
          <w:rFonts w:ascii="宋体" w:hAnsi="宋体" w:cs="宋体"/>
          <w:color w:val="000000"/>
          <w:spacing w:val="0"/>
          <w:sz w:val="21"/>
        </w:rPr>
        <w:t>基因的碱基对缺失发生在长臂猿的共同祖先中</w:t>
      </w:r>
    </w:p>
    <w:p w14:paraId="00B46AD3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C. SHH </w:t>
      </w:r>
      <w:r>
        <w:rPr>
          <w:rFonts w:ascii="宋体" w:hAnsi="宋体" w:cs="宋体"/>
          <w:color w:val="000000"/>
          <w:spacing w:val="0"/>
          <w:sz w:val="21"/>
        </w:rPr>
        <w:t>基因的碱基对缺失不利于长臂猿的生存</w:t>
      </w:r>
    </w:p>
    <w:p w14:paraId="46EE03D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自然选择通过改变</w:t>
      </w:r>
      <w:r>
        <w:rPr>
          <w:rFonts w:ascii="Times New Roman"/>
          <w:color w:val="000000"/>
          <w:spacing w:val="0"/>
          <w:sz w:val="21"/>
        </w:rPr>
        <w:t xml:space="preserve"> SHH </w:t>
      </w:r>
      <w:r>
        <w:rPr>
          <w:rFonts w:ascii="宋体" w:hAnsi="宋体" w:cs="宋体"/>
          <w:color w:val="000000"/>
          <w:spacing w:val="0"/>
          <w:sz w:val="21"/>
        </w:rPr>
        <w:t>基因的突变率来影响长臂猿的进化方向</w:t>
      </w:r>
    </w:p>
    <w:p w14:paraId="56C7E648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12.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中华鲟和长江鲟均为国家重点保护动物，其性成熟时间分别约为</w:t>
      </w:r>
      <w:r>
        <w:rPr>
          <w:rFonts w:ascii="Times New Roman"/>
          <w:color w:val="000000"/>
          <w:spacing w:val="0"/>
          <w:sz w:val="21"/>
        </w:rPr>
        <w:t xml:space="preserve"> 20 </w:t>
      </w:r>
      <w:r>
        <w:rPr>
          <w:rFonts w:ascii="宋体" w:hAnsi="宋体" w:cs="宋体"/>
          <w:color w:val="000000"/>
          <w:spacing w:val="0"/>
          <w:sz w:val="21"/>
        </w:rPr>
        <w:t>年和</w:t>
      </w:r>
      <w:r>
        <w:rPr>
          <w:rFonts w:ascii="Times New Roman"/>
          <w:color w:val="000000"/>
          <w:spacing w:val="0"/>
          <w:sz w:val="21"/>
        </w:rPr>
        <w:t xml:space="preserve"> 5 </w:t>
      </w:r>
      <w:r>
        <w:rPr>
          <w:rFonts w:ascii="宋体" w:hAnsi="宋体" w:cs="宋体"/>
          <w:color w:val="000000"/>
          <w:spacing w:val="0"/>
          <w:sz w:val="21"/>
        </w:rPr>
        <w:t>年。如图示我国科学家运用</w:t>
      </w:r>
    </w:p>
    <w:p w14:paraId="63A2E6E2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12"/>
          <w:sz w:val="21"/>
        </w:rPr>
        <w:t>鱼类生殖干细胞移植技术成功繁殖中华鲟的过程，该技术显著缩短了繁殖周期。下列分析错误的是（</w:t>
      </w:r>
    </w:p>
    <w:p w14:paraId="1CAEDB5F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04147A64">
      <w:pPr>
        <w:spacing w:before="3983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</w:t>
      </w:r>
      <w:r>
        <w:rPr>
          <w:rFonts w:ascii="宋体" w:hAnsi="宋体" w:cs="宋体"/>
          <w:color w:val="000000"/>
          <w:spacing w:val="0"/>
          <w:sz w:val="21"/>
        </w:rPr>
        <w:t>①示从供体中华鲟分离性腺组织</w:t>
      </w:r>
    </w:p>
    <w:p w14:paraId="4B8A430C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B. </w:t>
      </w:r>
      <w:r>
        <w:rPr>
          <w:rFonts w:ascii="宋体" w:hAnsi="宋体" w:cs="宋体"/>
          <w:color w:val="000000"/>
          <w:spacing w:val="0"/>
          <w:sz w:val="21"/>
        </w:rPr>
        <w:t>②示用胰蛋白酶处理，获取生殖干细胞</w:t>
      </w:r>
    </w:p>
    <w:p w14:paraId="0B2C05AE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C. </w:t>
      </w:r>
      <w:r>
        <w:rPr>
          <w:rFonts w:ascii="宋体" w:hAnsi="宋体" w:cs="宋体"/>
          <w:color w:val="000000"/>
          <w:spacing w:val="0"/>
          <w:sz w:val="21"/>
        </w:rPr>
        <w:t>③示干细胞移植过程，应在无菌环境中操作</w:t>
      </w:r>
    </w:p>
    <w:p w14:paraId="1E00DB23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D. </w:t>
      </w:r>
      <w:r>
        <w:rPr>
          <w:rFonts w:ascii="宋体" w:hAnsi="宋体" w:cs="宋体"/>
          <w:color w:val="000000"/>
          <w:spacing w:val="0"/>
          <w:sz w:val="21"/>
        </w:rPr>
        <w:t>④示体外受精，受精卵基因组均与中华鲟的相同</w:t>
      </w:r>
    </w:p>
    <w:p w14:paraId="1F590441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13.</w:t>
      </w:r>
      <w:r>
        <w:rPr>
          <w:rFonts w:ascii="Times New Roman"/>
          <w:color w:val="000000"/>
          <w:spacing w:val="54"/>
          <w:sz w:val="21"/>
        </w:rPr>
        <w:t xml:space="preserve"> </w:t>
      </w:r>
      <w:r>
        <w:rPr>
          <w:rFonts w:ascii="宋体" w:hAnsi="宋体" w:cs="宋体"/>
          <w:color w:val="000000"/>
          <w:spacing w:val="2"/>
          <w:sz w:val="21"/>
        </w:rPr>
        <w:t>我国科学家从由单细胞</w:t>
      </w:r>
      <w:r>
        <w:rPr>
          <w:rFonts w:ascii="Times New Roman"/>
          <w:color w:val="000000"/>
          <w:spacing w:val="0"/>
          <w:sz w:val="21"/>
        </w:rPr>
        <w:t xml:space="preserve"> H </w:t>
      </w:r>
      <w:r>
        <w:rPr>
          <w:rFonts w:ascii="宋体" w:hAnsi="宋体" w:cs="宋体"/>
          <w:color w:val="000000"/>
          <w:spacing w:val="2"/>
          <w:sz w:val="21"/>
        </w:rPr>
        <w:t>藻引起的赤潮海域中分离获得优势细菌</w:t>
      </w:r>
      <w:r>
        <w:rPr>
          <w:rFonts w:ascii="Times New Roman"/>
          <w:color w:val="000000"/>
          <w:spacing w:val="0"/>
          <w:sz w:val="21"/>
        </w:rPr>
        <w:t xml:space="preserve"> P </w:t>
      </w:r>
      <w:r>
        <w:rPr>
          <w:rFonts w:ascii="宋体" w:hAnsi="宋体" w:cs="宋体"/>
          <w:color w:val="000000"/>
          <w:spacing w:val="2"/>
          <w:sz w:val="21"/>
        </w:rPr>
        <w:t>菌。为研究两者的种间关系，设置</w:t>
      </w:r>
    </w:p>
    <w:p w14:paraId="4CD04318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了</w:t>
      </w:r>
      <w:r>
        <w:rPr>
          <w:rFonts w:ascii="Times New Roman"/>
          <w:color w:val="000000"/>
          <w:spacing w:val="0"/>
          <w:sz w:val="21"/>
        </w:rPr>
        <w:t xml:space="preserve"> H </w:t>
      </w:r>
      <w:r>
        <w:rPr>
          <w:rFonts w:ascii="宋体" w:hAnsi="宋体" w:cs="宋体"/>
          <w:color w:val="000000"/>
          <w:spacing w:val="0"/>
          <w:sz w:val="21"/>
        </w:rPr>
        <w:t>藻、</w:t>
      </w:r>
      <w:r>
        <w:rPr>
          <w:rFonts w:ascii="Times New Roman"/>
          <w:color w:val="000000"/>
          <w:spacing w:val="0"/>
          <w:sz w:val="21"/>
        </w:rPr>
        <w:t xml:space="preserve">P </w:t>
      </w:r>
      <w:r>
        <w:rPr>
          <w:rFonts w:ascii="宋体" w:hAnsi="宋体" w:cs="宋体"/>
          <w:color w:val="000000"/>
          <w:spacing w:val="0"/>
          <w:sz w:val="21"/>
        </w:rPr>
        <w:t>菌单独培养和共同培养</w:t>
      </w:r>
      <w:r>
        <w:rPr>
          <w:rFonts w:ascii="Times New Roman"/>
          <w:color w:val="000000"/>
          <w:spacing w:val="0"/>
          <w:sz w:val="21"/>
        </w:rPr>
        <w:t xml:space="preserve"> 3 </w:t>
      </w:r>
      <w:r>
        <w:rPr>
          <w:rFonts w:ascii="宋体" w:hAnsi="宋体" w:cs="宋体"/>
          <w:color w:val="000000"/>
          <w:spacing w:val="0"/>
          <w:sz w:val="21"/>
        </w:rPr>
        <w:t>个实验组，生长曲线见图。下列分析错误的是（</w:t>
      </w:r>
      <w:r>
        <w:rPr>
          <w:rFonts w:ascii="Times New Roman"/>
          <w:color w:val="000000"/>
          <w:spacing w:val="47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4F4331BB">
      <w:pPr>
        <w:spacing w:before="1513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3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10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667F296E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30CA7908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28DCF38C">
      <w:pPr>
        <w:sectPr>
          <w:pgSz w:w="11900" w:h="16840"/>
          <w:pgMar w:top="1440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7EE3BA85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46455BF6">
      <w:pPr>
        <w:spacing w:before="0" w:after="0" w:line="25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14" o:spid="_x0000_s1040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" o:title=""/>
            <o:lock v:ext="edit" aspectratio="t"/>
          </v:shape>
        </w:pict>
      </w:r>
      <w:r>
        <w:pict>
          <v:shape id="_x000015" o:spid="_x0000_s1041" o:spt="75" type="#_x0000_t75" style="position:absolute;left:0pt;margin-left:212.1pt;margin-top:473.25pt;height:5.75pt;width: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pict>
          <v:shape id="_x000016" o:spid="_x0000_s1042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17" o:spid="_x0000_s1043" o:spt="75" type="#_x0000_t75" style="position:absolute;left:0pt;margin-left:53pt;margin-top:68.8pt;height:212.85pt;width:272.8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2" o:title=""/>
            <o:lock v:ext="edit" aspectratio="t"/>
          </v:shape>
        </w:pict>
      </w:r>
      <w:r>
        <w:pict>
          <v:shape id="_x000018" o:spid="_x0000_s1044" o:spt="75" type="#_x0000_t75" style="position:absolute;left:0pt;margin-left:53pt;margin-top:450.75pt;height:119.8pt;width:101.0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3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共同培养时</w:t>
      </w:r>
      <w:r>
        <w:rPr>
          <w:rFonts w:ascii="Times New Roman"/>
          <w:color w:val="000000"/>
          <w:spacing w:val="0"/>
          <w:sz w:val="21"/>
        </w:rPr>
        <w:t xml:space="preserve"> P </w:t>
      </w:r>
      <w:r>
        <w:rPr>
          <w:rFonts w:ascii="宋体" w:hAnsi="宋体" w:cs="宋体"/>
          <w:color w:val="000000"/>
          <w:spacing w:val="0"/>
          <w:sz w:val="21"/>
        </w:rPr>
        <w:t>菌的</w:t>
      </w:r>
      <w:r>
        <w:rPr>
          <w:rFonts w:ascii="Times New Roman"/>
          <w:color w:val="000000"/>
          <w:spacing w:val="0"/>
          <w:sz w:val="21"/>
        </w:rPr>
        <w:t xml:space="preserve"> K </w:t>
      </w:r>
      <w:r>
        <w:rPr>
          <w:rFonts w:ascii="宋体" w:hAnsi="宋体" w:cs="宋体"/>
          <w:color w:val="000000"/>
          <w:spacing w:val="0"/>
          <w:sz w:val="21"/>
        </w:rPr>
        <w:t>值约为每升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1"/>
        </w:rPr>
        <w:t>4.0×10</w:t>
      </w:r>
      <w:r>
        <w:rPr>
          <w:rFonts w:ascii="Times New Roman"/>
          <w:color w:val="000000"/>
          <w:spacing w:val="0"/>
          <w:sz w:val="23"/>
          <w:vertAlign w:val="superscript"/>
        </w:rPr>
        <w:t>8</w:t>
      </w:r>
      <w:r>
        <w:rPr>
          <w:rFonts w:ascii="Times New Roman"/>
          <w:color w:val="000000"/>
          <w:spacing w:val="-5"/>
          <w:sz w:val="23"/>
          <w:vertAlign w:val="super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个</w:t>
      </w:r>
    </w:p>
    <w:p w14:paraId="66EED325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两种培养条件下</w:t>
      </w:r>
      <w:r>
        <w:rPr>
          <w:rFonts w:ascii="Times New Roman"/>
          <w:color w:val="000000"/>
          <w:spacing w:val="0"/>
          <w:sz w:val="21"/>
        </w:rPr>
        <w:t xml:space="preserve"> H </w:t>
      </w:r>
      <w:r>
        <w:rPr>
          <w:rFonts w:ascii="宋体" w:hAnsi="宋体" w:cs="宋体"/>
          <w:color w:val="000000"/>
          <w:spacing w:val="0"/>
          <w:sz w:val="21"/>
        </w:rPr>
        <w:t>藻种群数量增长趋势均为</w:t>
      </w:r>
      <w:r>
        <w:rPr>
          <w:rFonts w:ascii="Times New Roman"/>
          <w:color w:val="000000"/>
          <w:spacing w:val="0"/>
          <w:sz w:val="21"/>
        </w:rPr>
        <w:t xml:space="preserve"> S </w:t>
      </w:r>
      <w:r>
        <w:rPr>
          <w:rFonts w:ascii="宋体" w:hAnsi="宋体" w:cs="宋体"/>
          <w:color w:val="000000"/>
          <w:spacing w:val="0"/>
          <w:sz w:val="21"/>
        </w:rPr>
        <w:t>形</w:t>
      </w:r>
    </w:p>
    <w:p w14:paraId="4DEDA2E2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两种培养条件下</w:t>
      </w:r>
      <w:r>
        <w:rPr>
          <w:rFonts w:ascii="Times New Roman"/>
          <w:color w:val="000000"/>
          <w:spacing w:val="0"/>
          <w:sz w:val="21"/>
        </w:rPr>
        <w:t xml:space="preserve"> H </w:t>
      </w:r>
      <w:r>
        <w:rPr>
          <w:rFonts w:ascii="宋体" w:hAnsi="宋体" w:cs="宋体"/>
          <w:color w:val="000000"/>
          <w:spacing w:val="0"/>
          <w:sz w:val="21"/>
        </w:rPr>
        <w:t>藻在第</w:t>
      </w:r>
      <w:r>
        <w:rPr>
          <w:rFonts w:ascii="Times New Roman"/>
          <w:color w:val="000000"/>
          <w:spacing w:val="0"/>
          <w:sz w:val="21"/>
        </w:rPr>
        <w:t xml:space="preserve"> 18</w:t>
      </w:r>
      <w:r>
        <w:rPr>
          <w:rFonts w:ascii="宋体" w:hAnsi="宋体" w:cs="宋体"/>
          <w:color w:val="000000"/>
          <w:spacing w:val="0"/>
          <w:sz w:val="21"/>
        </w:rPr>
        <w:t>～</w:t>
      </w:r>
      <w:r>
        <w:rPr>
          <w:rFonts w:ascii="Times New Roman"/>
          <w:color w:val="000000"/>
          <w:spacing w:val="0"/>
          <w:sz w:val="21"/>
        </w:rPr>
        <w:t xml:space="preserve">21 </w:t>
      </w:r>
      <w:r>
        <w:rPr>
          <w:rFonts w:ascii="宋体" w:hAnsi="宋体" w:cs="宋体"/>
          <w:color w:val="000000"/>
          <w:spacing w:val="0"/>
          <w:sz w:val="21"/>
        </w:rPr>
        <w:t>天的增长速率相近</w:t>
      </w:r>
    </w:p>
    <w:p w14:paraId="6A26A783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实验结果表明</w:t>
      </w:r>
      <w:r>
        <w:rPr>
          <w:rFonts w:ascii="Times New Roman"/>
          <w:color w:val="000000"/>
          <w:spacing w:val="0"/>
          <w:sz w:val="21"/>
        </w:rPr>
        <w:t xml:space="preserve"> H </w:t>
      </w:r>
      <w:r>
        <w:rPr>
          <w:rFonts w:ascii="宋体" w:hAnsi="宋体" w:cs="宋体"/>
          <w:color w:val="000000"/>
          <w:spacing w:val="0"/>
          <w:sz w:val="21"/>
        </w:rPr>
        <w:t>藻和</w:t>
      </w:r>
      <w:r>
        <w:rPr>
          <w:rFonts w:ascii="Times New Roman"/>
          <w:color w:val="000000"/>
          <w:spacing w:val="0"/>
          <w:sz w:val="21"/>
        </w:rPr>
        <w:t xml:space="preserve"> P </w:t>
      </w:r>
      <w:r>
        <w:rPr>
          <w:rFonts w:ascii="宋体" w:hAnsi="宋体" w:cs="宋体"/>
          <w:color w:val="000000"/>
          <w:spacing w:val="0"/>
          <w:sz w:val="21"/>
        </w:rPr>
        <w:t>菌的种间关系是原始合作</w:t>
      </w:r>
    </w:p>
    <w:p w14:paraId="2CE68A5C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14.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学农小组的同学发现农户大棚黄瓜果实普遍存在弯曲现象（如图），黄瓜果实弯曲造成产量和品质的大</w:t>
      </w:r>
    </w:p>
    <w:p w14:paraId="20B00830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2"/>
          <w:sz w:val="21"/>
        </w:rPr>
        <w:t>幅度下降。经查阅文献，并对黄瓜果实发生弯曲的可能原因和解决方法进行了分析讨论，得出下列结论，</w:t>
      </w:r>
    </w:p>
    <w:p w14:paraId="7870126A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其中正确的是（</w:t>
      </w:r>
      <w:r>
        <w:rPr>
          <w:rFonts w:ascii="Times New Roman"/>
          <w:color w:val="000000"/>
          <w:spacing w:val="47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77A09377">
      <w:pPr>
        <w:spacing w:before="273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因幼瓜发生病变导致其失去向地性而产生弯曲</w:t>
      </w:r>
    </w:p>
    <w:p w14:paraId="2A6769C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因受精不均匀，受精较少一侧生长缓慢而产生弯曲</w:t>
      </w:r>
    </w:p>
    <w:p w14:paraId="4D2314CC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均匀涂抹低浓度的细胞分裂素可预防幼瓜弯曲</w:t>
      </w:r>
    </w:p>
    <w:p w14:paraId="455F845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在凸面涂抹低浓度的生长素类调节剂可降低弯曲程度</w:t>
      </w:r>
    </w:p>
    <w:p w14:paraId="3342FA3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15.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3"/>
          <w:sz w:val="21"/>
        </w:rPr>
        <w:t>研究人员发现，</w:t>
      </w:r>
      <w:r>
        <w:rPr>
          <w:rFonts w:ascii="Times New Roman"/>
          <w:color w:val="000000"/>
          <w:spacing w:val="0"/>
          <w:sz w:val="21"/>
        </w:rPr>
        <w:t>B7-H4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蛋白在人滋养层细胞和某种乳腺癌细胞中高表达，且该蛋白与孕激素、细胞毒性</w:t>
      </w:r>
    </w:p>
    <w:p w14:paraId="122A44B1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T</w:t>
      </w:r>
      <w:r>
        <w:rPr>
          <w:rFonts w:ascii="Times New Roman"/>
          <w:color w:val="000000"/>
          <w:spacing w:val="-12"/>
          <w:sz w:val="21"/>
        </w:rPr>
        <w:t xml:space="preserve"> </w:t>
      </w:r>
      <w:r>
        <w:rPr>
          <w:rFonts w:ascii="宋体" w:hAnsi="宋体" w:cs="宋体"/>
          <w:color w:val="000000"/>
          <w:spacing w:val="8"/>
          <w:sz w:val="21"/>
        </w:rPr>
        <w:t>细胞的关系见图。已知细胞毒性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T</w:t>
      </w:r>
      <w:r>
        <w:rPr>
          <w:rFonts w:ascii="Times New Roman"/>
          <w:color w:val="000000"/>
          <w:spacing w:val="-12"/>
          <w:sz w:val="21"/>
        </w:rPr>
        <w:t xml:space="preserve"> </w:t>
      </w:r>
      <w:r>
        <w:rPr>
          <w:rFonts w:ascii="宋体" w:hAnsi="宋体" w:cs="宋体"/>
          <w:color w:val="000000"/>
          <w:spacing w:val="7"/>
          <w:sz w:val="21"/>
        </w:rPr>
        <w:t>细胞可杀伤滋养层细胞和癌细胞。据图分析，下列叙述错误的是（</w:t>
      </w:r>
    </w:p>
    <w:p w14:paraId="4201B9B7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372A22A4">
      <w:pPr>
        <w:spacing w:before="744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4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10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26CF131F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28AF913F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7FD39A2A">
      <w:pPr>
        <w:sectPr>
          <w:pgSz w:w="11900" w:h="16840"/>
          <w:pgMar w:top="5802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2538CB52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2EAA4185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19" o:spid="_x0000_s1045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20" o:spid="_x0000_s1046" o:spt="75" type="#_x0000_t75" style="position:absolute;left:0pt;margin-left:53pt;margin-top:423.75pt;height:128.05pt;width:233.8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4" o:title=""/>
            <o:lock v:ext="edit" aspectratio="t"/>
          </v:shape>
        </w:pict>
      </w:r>
      <w:r>
        <w:pict>
          <v:shape id="_x000021" o:spid="_x0000_s1047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22" o:spid="_x0000_s1048" o:spt="75" type="#_x0000_t75" style="position:absolute;left:0pt;margin-left:53pt;margin-top:65.8pt;height:188.1pt;width:290.8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5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滋养层细胞将来会发育成胎膜和胎盘的一部分</w:t>
      </w:r>
    </w:p>
    <w:p w14:paraId="3C187D92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该种乳腺癌细胞通过表达</w:t>
      </w:r>
      <w:r>
        <w:rPr>
          <w:rFonts w:ascii="Times New Roman"/>
          <w:color w:val="000000"/>
          <w:spacing w:val="0"/>
          <w:sz w:val="21"/>
        </w:rPr>
        <w:t xml:space="preserve"> B7-H4 </w:t>
      </w:r>
      <w:r>
        <w:rPr>
          <w:rFonts w:ascii="宋体" w:hAnsi="宋体" w:cs="宋体"/>
          <w:color w:val="000000"/>
          <w:spacing w:val="0"/>
          <w:sz w:val="21"/>
        </w:rPr>
        <w:t>蛋白逃避免疫监视</w:t>
      </w:r>
    </w:p>
    <w:p w14:paraId="44932ED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孕妇体内孕激素水平低下可能因免疫异常导致流产</w:t>
      </w:r>
    </w:p>
    <w:p w14:paraId="072DE45B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孕激素类似物可抑制该种乳腺癌患者体内癌细胞生长</w:t>
      </w:r>
    </w:p>
    <w:p w14:paraId="1E6FFADC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16.</w:t>
      </w:r>
      <w:r>
        <w:rPr>
          <w:rFonts w:ascii="Times New Roman"/>
          <w:color w:val="000000"/>
          <w:spacing w:val="55"/>
          <w:sz w:val="21"/>
        </w:rPr>
        <w:t xml:space="preserve"> </w:t>
      </w:r>
      <w:r>
        <w:rPr>
          <w:rFonts w:ascii="宋体" w:hAnsi="宋体" w:cs="宋体"/>
          <w:color w:val="000000"/>
          <w:spacing w:val="2"/>
          <w:sz w:val="21"/>
        </w:rPr>
        <w:t>某种早发高度近视是由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X </w:t>
      </w:r>
      <w:r>
        <w:rPr>
          <w:rFonts w:ascii="宋体" w:hAnsi="宋体" w:cs="宋体"/>
          <w:color w:val="000000"/>
          <w:spacing w:val="2"/>
          <w:sz w:val="21"/>
        </w:rPr>
        <w:t>染色体上的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ARR3 </w:t>
      </w:r>
      <w:r>
        <w:rPr>
          <w:rFonts w:ascii="宋体" w:hAnsi="宋体" w:cs="宋体"/>
          <w:color w:val="000000"/>
          <w:spacing w:val="2"/>
          <w:sz w:val="21"/>
        </w:rPr>
        <w:t>基因突变引起的遗传病，其特点是携带致病基因的女性几</w:t>
      </w:r>
    </w:p>
    <w:p w14:paraId="57A51C10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1"/>
          <w:sz w:val="21"/>
        </w:rPr>
        <w:t>乎都患病，而携带致病基因的男性仅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1/3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患病。如图为该病的一个家族系谱图，该家系中携带致病基因的女</w:t>
      </w:r>
    </w:p>
    <w:p w14:paraId="42A71CB7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性可视为</w:t>
      </w:r>
      <w:r>
        <w:rPr>
          <w:rFonts w:ascii="Times New Roman"/>
          <w:color w:val="000000"/>
          <w:spacing w:val="0"/>
          <w:sz w:val="21"/>
        </w:rPr>
        <w:t xml:space="preserve"> 100%</w:t>
      </w:r>
      <w:r>
        <w:rPr>
          <w:rFonts w:ascii="宋体" w:hAnsi="宋体" w:cs="宋体"/>
          <w:color w:val="000000"/>
          <w:spacing w:val="0"/>
          <w:sz w:val="21"/>
        </w:rPr>
        <w:t>患病，且Ⅰ</w:t>
      </w:r>
      <w:r>
        <w:rPr>
          <w:rFonts w:ascii="Times New Roman"/>
          <w:color w:val="000000"/>
          <w:spacing w:val="0"/>
          <w:sz w:val="21"/>
        </w:rPr>
        <w:t xml:space="preserve">-2 </w:t>
      </w:r>
      <w:r>
        <w:rPr>
          <w:rFonts w:ascii="宋体" w:hAnsi="宋体" w:cs="宋体"/>
          <w:color w:val="000000"/>
          <w:spacing w:val="0"/>
          <w:sz w:val="21"/>
        </w:rPr>
        <w:t>和Ⅱ</w:t>
      </w:r>
      <w:r>
        <w:rPr>
          <w:rFonts w:ascii="Times New Roman"/>
          <w:color w:val="000000"/>
          <w:spacing w:val="0"/>
          <w:sz w:val="21"/>
        </w:rPr>
        <w:t xml:space="preserve">-3 </w:t>
      </w:r>
      <w:r>
        <w:rPr>
          <w:rFonts w:ascii="宋体" w:hAnsi="宋体" w:cs="宋体"/>
          <w:color w:val="000000"/>
          <w:spacing w:val="0"/>
          <w:sz w:val="21"/>
        </w:rPr>
        <w:t>均不携带致病基因。下列分析错误的是（</w:t>
      </w:r>
      <w:r>
        <w:rPr>
          <w:rFonts w:ascii="Times New Roman"/>
          <w:color w:val="000000"/>
          <w:spacing w:val="47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37760B88">
      <w:pPr>
        <w:spacing w:before="3035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该病与红绿色盲具有不同的遗传方式</w:t>
      </w:r>
    </w:p>
    <w:p w14:paraId="3DAF621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B. </w:t>
      </w:r>
      <w:r>
        <w:rPr>
          <w:rFonts w:ascii="宋体" w:hAnsi="宋体" w:cs="宋体"/>
          <w:color w:val="000000"/>
          <w:spacing w:val="0"/>
          <w:sz w:val="21"/>
        </w:rPr>
        <w:t>Ⅱ</w:t>
      </w:r>
      <w:r>
        <w:rPr>
          <w:rFonts w:ascii="Times New Roman"/>
          <w:color w:val="000000"/>
          <w:spacing w:val="0"/>
          <w:sz w:val="21"/>
        </w:rPr>
        <w:t xml:space="preserve">-4 </w:t>
      </w:r>
      <w:r>
        <w:rPr>
          <w:rFonts w:ascii="宋体" w:hAnsi="宋体" w:cs="宋体"/>
          <w:color w:val="000000"/>
          <w:spacing w:val="0"/>
          <w:sz w:val="21"/>
        </w:rPr>
        <w:t>与Ⅲ</w:t>
      </w:r>
      <w:r>
        <w:rPr>
          <w:rFonts w:ascii="Times New Roman"/>
          <w:color w:val="000000"/>
          <w:spacing w:val="0"/>
          <w:sz w:val="21"/>
        </w:rPr>
        <w:t xml:space="preserve">-5 </w:t>
      </w:r>
      <w:r>
        <w:rPr>
          <w:rFonts w:ascii="宋体" w:hAnsi="宋体" w:cs="宋体"/>
          <w:color w:val="000000"/>
          <w:spacing w:val="0"/>
          <w:sz w:val="21"/>
        </w:rPr>
        <w:t>所携带的致病基因均源自Ⅰ</w:t>
      </w:r>
      <w:r>
        <w:rPr>
          <w:rFonts w:ascii="Times New Roman"/>
          <w:color w:val="000000"/>
          <w:spacing w:val="0"/>
          <w:sz w:val="21"/>
        </w:rPr>
        <w:t>-1</w:t>
      </w:r>
    </w:p>
    <w:p w14:paraId="15626223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C. </w:t>
      </w:r>
      <w:r>
        <w:rPr>
          <w:rFonts w:ascii="宋体" w:hAnsi="宋体" w:cs="宋体"/>
          <w:color w:val="000000"/>
          <w:spacing w:val="0"/>
          <w:sz w:val="21"/>
        </w:rPr>
        <w:t>Ⅲ</w:t>
      </w:r>
      <w:r>
        <w:rPr>
          <w:rFonts w:ascii="Times New Roman"/>
          <w:color w:val="000000"/>
          <w:spacing w:val="0"/>
          <w:sz w:val="21"/>
        </w:rPr>
        <w:t xml:space="preserve">-1 </w:t>
      </w:r>
      <w:r>
        <w:rPr>
          <w:rFonts w:ascii="宋体" w:hAnsi="宋体" w:cs="宋体"/>
          <w:color w:val="000000"/>
          <w:spacing w:val="0"/>
          <w:sz w:val="21"/>
        </w:rPr>
        <w:t>与Ⅲ</w:t>
      </w:r>
      <w:r>
        <w:rPr>
          <w:rFonts w:ascii="Times New Roman"/>
          <w:color w:val="000000"/>
          <w:spacing w:val="0"/>
          <w:sz w:val="21"/>
        </w:rPr>
        <w:t xml:space="preserve">-2 </w:t>
      </w:r>
      <w:r>
        <w:rPr>
          <w:rFonts w:ascii="宋体" w:hAnsi="宋体" w:cs="宋体"/>
          <w:color w:val="000000"/>
          <w:spacing w:val="0"/>
          <w:sz w:val="21"/>
        </w:rPr>
        <w:t>再生一个正常男孩的概率是</w:t>
      </w:r>
      <w:r>
        <w:rPr>
          <w:rFonts w:ascii="Times New Roman"/>
          <w:color w:val="000000"/>
          <w:spacing w:val="0"/>
          <w:sz w:val="21"/>
        </w:rPr>
        <w:t xml:space="preserve"> 5/12</w:t>
      </w:r>
    </w:p>
    <w:p w14:paraId="1C333D07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D. </w:t>
      </w:r>
      <w:r>
        <w:rPr>
          <w:rFonts w:ascii="宋体" w:hAnsi="宋体" w:cs="宋体"/>
          <w:color w:val="000000"/>
          <w:spacing w:val="0"/>
          <w:sz w:val="21"/>
        </w:rPr>
        <w:t>Ⅲ</w:t>
      </w:r>
      <w:r>
        <w:rPr>
          <w:rFonts w:ascii="Times New Roman"/>
          <w:color w:val="000000"/>
          <w:spacing w:val="0"/>
          <w:sz w:val="21"/>
        </w:rPr>
        <w:t xml:space="preserve">-3 </w:t>
      </w:r>
      <w:r>
        <w:rPr>
          <w:rFonts w:ascii="宋体" w:hAnsi="宋体" w:cs="宋体"/>
          <w:color w:val="000000"/>
          <w:spacing w:val="0"/>
          <w:sz w:val="21"/>
        </w:rPr>
        <w:t>与Ⅲ</w:t>
      </w:r>
      <w:r>
        <w:rPr>
          <w:rFonts w:ascii="Times New Roman"/>
          <w:color w:val="000000"/>
          <w:spacing w:val="0"/>
          <w:sz w:val="21"/>
        </w:rPr>
        <w:t xml:space="preserve">-4 </w:t>
      </w:r>
      <w:r>
        <w:rPr>
          <w:rFonts w:ascii="宋体" w:hAnsi="宋体" w:cs="宋体"/>
          <w:color w:val="000000"/>
          <w:spacing w:val="0"/>
          <w:sz w:val="21"/>
        </w:rPr>
        <w:t>再生一个正常孩子的概率是</w:t>
      </w:r>
      <w:r>
        <w:rPr>
          <w:rFonts w:ascii="Times New Roman"/>
          <w:color w:val="000000"/>
          <w:spacing w:val="0"/>
          <w:sz w:val="21"/>
        </w:rPr>
        <w:t xml:space="preserve"> 1/3</w:t>
      </w:r>
    </w:p>
    <w:p w14:paraId="29A69D4B">
      <w:pPr>
        <w:spacing w:before="209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2"/>
          <w:sz w:val="24"/>
        </w:rPr>
        <w:t>二、非选择题：本大题共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5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宋体" w:hAnsi="宋体" w:cs="宋体"/>
          <w:color w:val="000000"/>
          <w:spacing w:val="3"/>
          <w:sz w:val="24"/>
        </w:rPr>
        <w:t>小题，共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60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1"/>
          <w:sz w:val="24"/>
        </w:rPr>
        <w:t>分。考生根据要求作答。</w:t>
      </w:r>
    </w:p>
    <w:p w14:paraId="63013FD4">
      <w:pPr>
        <w:spacing w:before="209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17. Rubisco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是植物光合作用暗反应阶段的关键酶。水稻中的</w:t>
      </w:r>
      <w:r>
        <w:rPr>
          <w:rFonts w:ascii="Times New Roman"/>
          <w:color w:val="000000"/>
          <w:spacing w:val="0"/>
          <w:sz w:val="21"/>
        </w:rPr>
        <w:t xml:space="preserve"> Rubisco </w:t>
      </w:r>
      <w:r>
        <w:rPr>
          <w:rFonts w:ascii="宋体" w:hAnsi="宋体" w:cs="宋体"/>
          <w:color w:val="000000"/>
          <w:spacing w:val="0"/>
          <w:sz w:val="21"/>
        </w:rPr>
        <w:t>由核基因（</w:t>
      </w:r>
      <w:r>
        <w:rPr>
          <w:rFonts w:ascii="Times New Roman"/>
          <w:color w:val="000000"/>
          <w:spacing w:val="0"/>
          <w:sz w:val="21"/>
        </w:rPr>
        <w:t>S</w:t>
      </w:r>
      <w:r>
        <w:rPr>
          <w:rFonts w:ascii="宋体" w:hAnsi="宋体" w:cs="宋体"/>
          <w:color w:val="000000"/>
          <w:spacing w:val="0"/>
          <w:sz w:val="21"/>
        </w:rPr>
        <w:t>）编码的小亚基和叶绿体</w:t>
      </w:r>
    </w:p>
    <w:p w14:paraId="30D6A75F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22"/>
          <w:sz w:val="21"/>
        </w:rPr>
        <w:t>基因（</w:t>
      </w:r>
      <w:r>
        <w:rPr>
          <w:rFonts w:ascii="Times New Roman"/>
          <w:color w:val="000000"/>
          <w:spacing w:val="0"/>
          <w:sz w:val="21"/>
        </w:rPr>
        <w:t>L</w:t>
      </w:r>
      <w:r>
        <w:rPr>
          <w:rFonts w:ascii="宋体" w:hAnsi="宋体" w:cs="宋体"/>
          <w:color w:val="000000"/>
          <w:spacing w:val="-7"/>
          <w:sz w:val="21"/>
        </w:rPr>
        <w:t>）编码的大亚基组成。通过对野生型水稻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S</w:t>
      </w:r>
      <w:r>
        <w:rPr>
          <w:rFonts w:ascii="Times New Roman"/>
          <w:color w:val="000000"/>
          <w:spacing w:val="-16"/>
          <w:sz w:val="21"/>
        </w:rPr>
        <w:t xml:space="preserve"> </w:t>
      </w:r>
      <w:r>
        <w:rPr>
          <w:rFonts w:ascii="宋体" w:hAnsi="宋体" w:cs="宋体"/>
          <w:color w:val="000000"/>
          <w:spacing w:val="-6"/>
          <w:sz w:val="21"/>
        </w:rPr>
        <w:t>基因进行编辑，获得了单基因突变体植株，以研究</w:t>
      </w:r>
      <w:r>
        <w:rPr>
          <w:rFonts w:ascii="Times New Roman"/>
          <w:color w:val="000000"/>
          <w:spacing w:val="-1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Rubisco</w:t>
      </w:r>
    </w:p>
    <w:p w14:paraId="367678EB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对光合作用的影响。</w:t>
      </w:r>
    </w:p>
    <w:p w14:paraId="2BC97CFB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回答下列问题：</w:t>
      </w:r>
    </w:p>
    <w:p w14:paraId="10F47ADD">
      <w:pPr>
        <w:spacing w:before="120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5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10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582EB14E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7D6E19F5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5E395620">
      <w:pPr>
        <w:sectPr>
          <w:pgSz w:w="11900" w:h="16840"/>
          <w:pgMar w:top="5186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21880AAD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2EBADADA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23" o:spid="_x0000_s1049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" o:title=""/>
            <o:lock v:ext="edit" aspectratio="t"/>
          </v:shape>
        </w:pict>
      </w:r>
      <w:r>
        <w:pict>
          <v:shape id="_x000024" o:spid="_x0000_s1050" o:spt="75" type="#_x0000_t75" style="position:absolute;left:0pt;margin-left:212.1pt;margin-top:473.25pt;height:5.75pt;width: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pict>
          <v:shape id="_x000025" o:spid="_x0000_s1051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26" o:spid="_x0000_s1052" o:spt="75" type="#_x0000_t75" style="position:absolute;left:0pt;margin-left:53pt;margin-top:254.85pt;height:137.1pt;width:179.0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6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-22"/>
          <w:sz w:val="21"/>
        </w:rPr>
        <w:t>）</w:t>
      </w:r>
      <w:r>
        <w:rPr>
          <w:rFonts w:ascii="Times New Roman"/>
          <w:color w:val="000000"/>
          <w:spacing w:val="0"/>
          <w:sz w:val="21"/>
        </w:rPr>
        <w:t>S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基因在</w:t>
      </w:r>
      <w:r>
        <w:rPr>
          <w:rFonts w:ascii="Times New Roman"/>
          <w:color w:val="000000"/>
          <w:spacing w:val="0"/>
          <w:sz w:val="21"/>
        </w:rPr>
        <w:t>__________</w:t>
      </w:r>
      <w:r>
        <w:rPr>
          <w:rFonts w:ascii="宋体" w:hAnsi="宋体" w:cs="宋体"/>
          <w:color w:val="000000"/>
          <w:spacing w:val="0"/>
          <w:sz w:val="21"/>
        </w:rPr>
        <w:t>中转录形成的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mRNA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在细胞质翻译成肽链后进入叶绿体，肽链在叶绿体基质中形</w:t>
      </w:r>
    </w:p>
    <w:p w14:paraId="2A2846B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成一定空间结构后与</w:t>
      </w:r>
      <w:r>
        <w:rPr>
          <w:rFonts w:ascii="Times New Roman"/>
          <w:color w:val="000000"/>
          <w:spacing w:val="0"/>
          <w:sz w:val="21"/>
        </w:rPr>
        <w:t>____________</w:t>
      </w:r>
      <w:r>
        <w:rPr>
          <w:rFonts w:ascii="宋体" w:hAnsi="宋体" w:cs="宋体"/>
          <w:color w:val="000000"/>
          <w:spacing w:val="0"/>
          <w:sz w:val="21"/>
        </w:rPr>
        <w:t>组装构成完整</w:t>
      </w:r>
      <w:r>
        <w:rPr>
          <w:rFonts w:ascii="Times New Roman"/>
          <w:color w:val="000000"/>
          <w:spacing w:val="0"/>
          <w:sz w:val="21"/>
        </w:rPr>
        <w:t xml:space="preserve"> Rubisco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492289B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）研究发现，突变体与野生型叶片中</w:t>
      </w:r>
      <w:r>
        <w:rPr>
          <w:rFonts w:ascii="Times New Roman"/>
          <w:color w:val="000000"/>
          <w:spacing w:val="0"/>
          <w:sz w:val="21"/>
        </w:rPr>
        <w:t xml:space="preserve"> Rubisco </w:t>
      </w:r>
      <w:r>
        <w:rPr>
          <w:rFonts w:ascii="宋体" w:hAnsi="宋体" w:cs="宋体"/>
          <w:color w:val="000000"/>
          <w:spacing w:val="0"/>
          <w:sz w:val="21"/>
        </w:rPr>
        <w:t>的蛋白结构无明显差异且功能未发生改变，但突变体叶片</w:t>
      </w:r>
    </w:p>
    <w:p w14:paraId="149BD2EF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中</w:t>
      </w:r>
      <w:r>
        <w:rPr>
          <w:rFonts w:ascii="Times New Roman"/>
          <w:color w:val="000000"/>
          <w:spacing w:val="0"/>
          <w:sz w:val="21"/>
        </w:rPr>
        <w:t xml:space="preserve"> Rubisco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总活性显著降低，可能的原因是</w:t>
      </w:r>
      <w:r>
        <w:rPr>
          <w:rFonts w:ascii="Times New Roman"/>
          <w:color w:val="000000"/>
          <w:spacing w:val="0"/>
          <w:sz w:val="21"/>
        </w:rPr>
        <w:t>____________________________________________________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4DF0D41E">
      <w:pPr>
        <w:spacing w:before="212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-4"/>
          <w:sz w:val="21"/>
        </w:rPr>
        <w:t>）水稻在大气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CO</w:t>
      </w:r>
      <w:r>
        <w:rPr>
          <w:rFonts w:ascii="Times New Roman"/>
          <w:color w:val="000000"/>
          <w:spacing w:val="0"/>
          <w:sz w:val="21"/>
          <w:vertAlign w:val="subscript"/>
        </w:rPr>
        <w:t>2</w:t>
      </w:r>
      <w:r>
        <w:rPr>
          <w:rFonts w:ascii="Times New Roman"/>
          <w:color w:val="000000"/>
          <w:spacing w:val="-8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浓度条件下净光合速率与光照强度关系如图所示。已知突变体与野生型的呼吸速率基</w:t>
      </w:r>
    </w:p>
    <w:p w14:paraId="0686D55B">
      <w:pPr>
        <w:spacing w:before="21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2"/>
          <w:sz w:val="21"/>
        </w:rPr>
        <w:t>本一致，推测突变体的净光合速率变化曲线。与野生型相比，突变体的光饱和点</w:t>
      </w:r>
      <w:r>
        <w:rPr>
          <w:rFonts w:ascii="Times New Roman"/>
          <w:color w:val="000000"/>
          <w:spacing w:val="-2"/>
          <w:sz w:val="21"/>
        </w:rPr>
        <w:t>___________</w:t>
      </w:r>
      <w:r>
        <w:rPr>
          <w:rFonts w:ascii="宋体" w:hAnsi="宋体" w:cs="宋体"/>
          <w:color w:val="000000"/>
          <w:spacing w:val="0"/>
          <w:sz w:val="21"/>
        </w:rPr>
        <w:t>（填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宋体" w:hAnsi="宋体" w:cs="宋体"/>
          <w:color w:val="000000"/>
          <w:spacing w:val="0"/>
          <w:sz w:val="21"/>
        </w:rPr>
        <w:t>升高</w:t>
      </w:r>
      <w:r>
        <w:rPr>
          <w:rFonts w:ascii="Times New Roman" w:hAnsi="Times New Roman" w:cs="Times New Roman"/>
          <w:color w:val="000000"/>
          <w:spacing w:val="0"/>
          <w:sz w:val="21"/>
        </w:rPr>
        <w:t>”“</w:t>
      </w:r>
      <w:r>
        <w:rPr>
          <w:rFonts w:ascii="宋体" w:hAnsi="宋体" w:cs="宋体"/>
          <w:color w:val="000000"/>
          <w:spacing w:val="0"/>
          <w:sz w:val="21"/>
        </w:rPr>
        <w:t>不</w:t>
      </w:r>
    </w:p>
    <w:p w14:paraId="2B381021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变</w:t>
      </w:r>
      <w:r>
        <w:rPr>
          <w:rFonts w:ascii="Times New Roman" w:hAnsi="Times New Roman" w:cs="Times New Roman"/>
          <w:color w:val="000000"/>
          <w:spacing w:val="0"/>
          <w:sz w:val="21"/>
        </w:rPr>
        <w:t>”</w:t>
      </w:r>
      <w:r>
        <w:rPr>
          <w:rFonts w:ascii="宋体" w:hAnsi="宋体" w:cs="宋体"/>
          <w:color w:val="000000"/>
          <w:spacing w:val="0"/>
          <w:sz w:val="21"/>
        </w:rPr>
        <w:t>或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宋体" w:hAnsi="宋体" w:cs="宋体"/>
          <w:color w:val="000000"/>
          <w:spacing w:val="0"/>
          <w:sz w:val="21"/>
        </w:rPr>
        <w:t>降低</w:t>
      </w:r>
      <w:r>
        <w:rPr>
          <w:rFonts w:ascii="Times New Roman" w:hAnsi="Times New Roman" w:cs="Times New Roman"/>
          <w:color w:val="000000"/>
          <w:spacing w:val="0"/>
          <w:sz w:val="21"/>
        </w:rPr>
        <w:t>”</w:t>
      </w:r>
      <w:r>
        <w:rPr>
          <w:rFonts w:ascii="宋体" w:hAnsi="宋体" w:cs="宋体"/>
          <w:color w:val="000000"/>
          <w:spacing w:val="-4"/>
          <w:sz w:val="21"/>
        </w:rPr>
        <w:t>）；在达到光饱和点之前，突变体净光合速率的限制因素是</w:t>
      </w:r>
      <w:r>
        <w:rPr>
          <w:rFonts w:ascii="Times New Roman"/>
          <w:color w:val="000000"/>
          <w:spacing w:val="0"/>
          <w:sz w:val="21"/>
        </w:rPr>
        <w:t>_____________</w:t>
      </w:r>
      <w:r>
        <w:rPr>
          <w:rFonts w:ascii="宋体" w:hAnsi="宋体" w:cs="宋体"/>
          <w:color w:val="000000"/>
          <w:spacing w:val="0"/>
          <w:sz w:val="21"/>
        </w:rPr>
        <w:t>；在</w:t>
      </w:r>
      <w:r>
        <w:rPr>
          <w:rFonts w:ascii="Times New Roman"/>
          <w:color w:val="000000"/>
          <w:spacing w:val="0"/>
          <w:sz w:val="21"/>
        </w:rPr>
        <w:t xml:space="preserve"> C </w:t>
      </w:r>
      <w:r>
        <w:rPr>
          <w:rFonts w:ascii="宋体" w:hAnsi="宋体" w:cs="宋体"/>
          <w:color w:val="000000"/>
          <w:spacing w:val="0"/>
          <w:sz w:val="21"/>
        </w:rPr>
        <w:t>区提高</w:t>
      </w:r>
    </w:p>
    <w:p w14:paraId="5DE0CE08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_____________________________</w:t>
      </w:r>
      <w:r>
        <w:rPr>
          <w:rFonts w:ascii="宋体" w:hAnsi="宋体" w:cs="宋体"/>
          <w:color w:val="000000"/>
          <w:spacing w:val="0"/>
          <w:sz w:val="21"/>
        </w:rPr>
        <w:t>时，野生型净光合速率的变化趋势为先升高后趋于稳定。</w:t>
      </w:r>
    </w:p>
    <w:p w14:paraId="7485F39F">
      <w:pPr>
        <w:spacing w:before="3035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注：</w:t>
      </w:r>
      <w:r>
        <w:rPr>
          <w:rFonts w:ascii="Times New Roman"/>
          <w:color w:val="000000"/>
          <w:spacing w:val="0"/>
          <w:sz w:val="21"/>
        </w:rPr>
        <w:t xml:space="preserve">a </w:t>
      </w:r>
      <w:r>
        <w:rPr>
          <w:rFonts w:ascii="宋体" w:hAnsi="宋体" w:cs="宋体"/>
          <w:color w:val="000000"/>
          <w:spacing w:val="0"/>
          <w:sz w:val="21"/>
        </w:rPr>
        <w:t>点为光饱和点（光合速率不再随光照强度增加而增加时的光照强度）</w:t>
      </w:r>
    </w:p>
    <w:p w14:paraId="0611820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宋体" w:hAnsi="宋体" w:cs="宋体"/>
          <w:color w:val="000000"/>
          <w:spacing w:val="0"/>
          <w:sz w:val="21"/>
        </w:rPr>
        <w:t>）野生型与突变体净光合速率的变化曲线会出现部分重合，重合部分一定会在</w:t>
      </w:r>
      <w:r>
        <w:rPr>
          <w:rFonts w:ascii="Times New Roman"/>
          <w:color w:val="000000"/>
          <w:spacing w:val="0"/>
          <w:sz w:val="21"/>
        </w:rPr>
        <w:t>__________</w:t>
      </w:r>
      <w:r>
        <w:rPr>
          <w:rFonts w:ascii="宋体" w:hAnsi="宋体" w:cs="宋体"/>
          <w:color w:val="000000"/>
          <w:spacing w:val="-1"/>
          <w:sz w:val="21"/>
        </w:rPr>
        <w:t>区出现，推测</w:t>
      </w:r>
    </w:p>
    <w:p w14:paraId="79EA82E5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曲线重合的原因是</w:t>
      </w:r>
      <w:r>
        <w:rPr>
          <w:rFonts w:ascii="Times New Roman"/>
          <w:color w:val="000000"/>
          <w:spacing w:val="0"/>
          <w:sz w:val="21"/>
        </w:rPr>
        <w:t>______________________________________________________________________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18E5093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18.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近年高温天气频发，给人类健康带来严峻挑战。研究发现，经热应激预处理的小鼠，更易出现肥胖及代</w:t>
      </w:r>
    </w:p>
    <w:p w14:paraId="0BA2B7B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谢紊乱。我国科学家围绕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宋体" w:hAnsi="宋体" w:cs="宋体"/>
          <w:color w:val="000000"/>
          <w:spacing w:val="0"/>
          <w:sz w:val="21"/>
        </w:rPr>
        <w:t>热应激如何导致持久性代谢功能障碍</w:t>
      </w:r>
      <w:r>
        <w:rPr>
          <w:rFonts w:ascii="Times New Roman" w:hAnsi="Times New Roman" w:cs="Times New Roman"/>
          <w:color w:val="000000"/>
          <w:spacing w:val="0"/>
          <w:sz w:val="21"/>
        </w:rPr>
        <w:t>”</w:t>
      </w:r>
      <w:r>
        <w:rPr>
          <w:rFonts w:ascii="宋体" w:hAnsi="宋体" w:cs="宋体"/>
          <w:color w:val="000000"/>
          <w:spacing w:val="0"/>
          <w:sz w:val="21"/>
        </w:rPr>
        <w:t>展开研究。回答下列问题：</w:t>
      </w:r>
    </w:p>
    <w:p w14:paraId="01EE3B35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）对小鼠脑内位于</w:t>
      </w:r>
      <w:r>
        <w:rPr>
          <w:rFonts w:ascii="Times New Roman"/>
          <w:color w:val="000000"/>
          <w:spacing w:val="0"/>
          <w:sz w:val="21"/>
        </w:rPr>
        <w:t>_____________</w:t>
      </w:r>
      <w:r>
        <w:rPr>
          <w:rFonts w:ascii="宋体" w:hAnsi="宋体" w:cs="宋体"/>
          <w:color w:val="000000"/>
          <w:spacing w:val="0"/>
          <w:sz w:val="21"/>
        </w:rPr>
        <w:t>的体温调节中枢进行检测，发现热应激后</w:t>
      </w:r>
      <w:r>
        <w:rPr>
          <w:rFonts w:ascii="Times New Roman"/>
          <w:color w:val="000000"/>
          <w:spacing w:val="0"/>
          <w:sz w:val="21"/>
        </w:rPr>
        <w:t xml:space="preserve"> L </w:t>
      </w:r>
      <w:r>
        <w:rPr>
          <w:rFonts w:ascii="宋体" w:hAnsi="宋体" w:cs="宋体"/>
          <w:color w:val="000000"/>
          <w:spacing w:val="0"/>
          <w:sz w:val="21"/>
        </w:rPr>
        <w:t>型星形胶质细胞内特定基</w:t>
      </w:r>
    </w:p>
    <w:p w14:paraId="45EB07D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因发生去甲基化，可形成持久的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宋体" w:hAnsi="宋体" w:cs="宋体"/>
          <w:color w:val="000000"/>
          <w:spacing w:val="0"/>
          <w:sz w:val="21"/>
        </w:rPr>
        <w:t>热记忆</w:t>
      </w:r>
      <w:r>
        <w:rPr>
          <w:rFonts w:ascii="Times New Roman" w:hAnsi="Times New Roman" w:cs="Times New Roman"/>
          <w:color w:val="000000"/>
          <w:spacing w:val="0"/>
          <w:sz w:val="21"/>
        </w:rPr>
        <w:t>”</w:t>
      </w:r>
      <w:r>
        <w:rPr>
          <w:rFonts w:ascii="宋体" w:hAnsi="宋体" w:cs="宋体"/>
          <w:color w:val="000000"/>
          <w:spacing w:val="0"/>
          <w:sz w:val="21"/>
        </w:rPr>
        <w:t>，该现象属于</w:t>
      </w:r>
      <w:r>
        <w:rPr>
          <w:rFonts w:ascii="Times New Roman"/>
          <w:color w:val="000000"/>
          <w:spacing w:val="0"/>
          <w:sz w:val="21"/>
        </w:rPr>
        <w:t>______________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3EDF30AF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）蛋白组学筛查发现，热应激显著增加皮肤和血清中的</w:t>
      </w:r>
      <w:r>
        <w:rPr>
          <w:rFonts w:ascii="Times New Roman"/>
          <w:color w:val="000000"/>
          <w:spacing w:val="0"/>
          <w:sz w:val="21"/>
        </w:rPr>
        <w:t xml:space="preserve"> KLK14 </w:t>
      </w:r>
      <w:r>
        <w:rPr>
          <w:rFonts w:ascii="宋体" w:hAnsi="宋体" w:cs="宋体"/>
          <w:color w:val="000000"/>
          <w:spacing w:val="0"/>
          <w:sz w:val="21"/>
        </w:rPr>
        <w:t>蛋白含量。该蛋白可经血液循环进入脑</w:t>
      </w:r>
    </w:p>
    <w:p w14:paraId="7865ED96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内。为明确</w:t>
      </w:r>
      <w:r>
        <w:rPr>
          <w:rFonts w:ascii="Times New Roman"/>
          <w:color w:val="000000"/>
          <w:spacing w:val="0"/>
          <w:sz w:val="21"/>
        </w:rPr>
        <w:t xml:space="preserve"> KLK14 </w:t>
      </w:r>
      <w:r>
        <w:rPr>
          <w:rFonts w:ascii="宋体" w:hAnsi="宋体" w:cs="宋体"/>
          <w:color w:val="000000"/>
          <w:spacing w:val="0"/>
          <w:sz w:val="21"/>
        </w:rPr>
        <w:t>蛋白对</w:t>
      </w:r>
      <w:r>
        <w:rPr>
          <w:rFonts w:ascii="Times New Roman"/>
          <w:color w:val="000000"/>
          <w:spacing w:val="0"/>
          <w:sz w:val="21"/>
        </w:rPr>
        <w:t xml:space="preserve"> L </w:t>
      </w:r>
      <w:r>
        <w:rPr>
          <w:rFonts w:ascii="宋体" w:hAnsi="宋体" w:cs="宋体"/>
          <w:color w:val="000000"/>
          <w:spacing w:val="0"/>
          <w:sz w:val="21"/>
        </w:rPr>
        <w:t>型星形胶质细胞的作用，研究人员构建了皮肤特异性</w:t>
      </w:r>
      <w:r>
        <w:rPr>
          <w:rFonts w:ascii="Times New Roman"/>
          <w:color w:val="000000"/>
          <w:spacing w:val="0"/>
          <w:sz w:val="21"/>
        </w:rPr>
        <w:t xml:space="preserve"> KLK14 </w:t>
      </w:r>
      <w:r>
        <w:rPr>
          <w:rFonts w:ascii="宋体" w:hAnsi="宋体" w:cs="宋体"/>
          <w:color w:val="000000"/>
          <w:spacing w:val="0"/>
          <w:sz w:val="21"/>
        </w:rPr>
        <w:t>基因敲除（</w:t>
      </w:r>
      <w:r>
        <w:rPr>
          <w:rFonts w:ascii="Times New Roman"/>
          <w:color w:val="000000"/>
          <w:spacing w:val="0"/>
          <w:sz w:val="21"/>
        </w:rPr>
        <w:t>KO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29FD479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小鼠，实验结果见图</w:t>
      </w:r>
      <w:r>
        <w:rPr>
          <w:rFonts w:ascii="Times New Roman"/>
          <w:color w:val="000000"/>
          <w:spacing w:val="0"/>
          <w:sz w:val="21"/>
        </w:rPr>
        <w:t xml:space="preserve"> 1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4BE6566A">
      <w:pPr>
        <w:spacing w:before="2918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6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10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1DE4C20F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44A0C961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78D8ED4E">
      <w:pPr>
        <w:sectPr>
          <w:pgSz w:w="11900" w:h="16840"/>
          <w:pgMar w:top="1440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00B8331D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521131D3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27" o:spid="_x0000_s1053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28" o:spid="_x0000_s1054" o:spt="75" type="#_x0000_t75" style="position:absolute;left:0pt;margin-left:53pt;margin-top:410.25pt;height:122.8pt;width:335.1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7" o:title=""/>
            <o:lock v:ext="edit" aspectratio="t"/>
          </v:shape>
        </w:pict>
      </w:r>
      <w:r>
        <w:pict>
          <v:shape id="_x000029" o:spid="_x0000_s1055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30" o:spid="_x0000_s1056" o:spt="75" type="#_x0000_t75" style="position:absolute;left:0pt;margin-left:53pt;margin-top:67.3pt;height:200.1pt;width:274.3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8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据图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分析，</w:t>
      </w:r>
      <w:r>
        <w:rPr>
          <w:rFonts w:ascii="Times New Roman"/>
          <w:color w:val="000000"/>
          <w:spacing w:val="0"/>
          <w:sz w:val="21"/>
        </w:rPr>
        <w:t>______________________________________</w:t>
      </w:r>
      <w:r>
        <w:rPr>
          <w:rFonts w:ascii="宋体" w:hAnsi="宋体" w:cs="宋体"/>
          <w:color w:val="000000"/>
          <w:spacing w:val="0"/>
          <w:sz w:val="21"/>
        </w:rPr>
        <w:t>（答组别</w:t>
      </w:r>
      <w:r>
        <w:rPr>
          <w:rFonts w:ascii="Times New Roman"/>
          <w:color w:val="000000"/>
          <w:spacing w:val="0"/>
          <w:sz w:val="21"/>
        </w:rPr>
        <w:t>+</w:t>
      </w:r>
      <w:r>
        <w:rPr>
          <w:rFonts w:ascii="宋体" w:hAnsi="宋体" w:cs="宋体"/>
          <w:color w:val="000000"/>
          <w:spacing w:val="-1"/>
          <w:sz w:val="21"/>
        </w:rPr>
        <w:t>指标）存在显著差异，说明热应激引起</w:t>
      </w:r>
    </w:p>
    <w:p w14:paraId="43A4F735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的</w:t>
      </w:r>
      <w:r>
        <w:rPr>
          <w:rFonts w:ascii="Times New Roman"/>
          <w:color w:val="000000"/>
          <w:spacing w:val="0"/>
          <w:sz w:val="21"/>
        </w:rPr>
        <w:t xml:space="preserve"> KLK14 </w:t>
      </w:r>
      <w:r>
        <w:rPr>
          <w:rFonts w:ascii="宋体" w:hAnsi="宋体" w:cs="宋体"/>
          <w:color w:val="000000"/>
          <w:spacing w:val="0"/>
          <w:sz w:val="21"/>
        </w:rPr>
        <w:t>蛋白增多主要源于皮肤。为进一步验证</w:t>
      </w:r>
      <w:r>
        <w:rPr>
          <w:rFonts w:ascii="Times New Roman"/>
          <w:color w:val="000000"/>
          <w:spacing w:val="0"/>
          <w:sz w:val="21"/>
        </w:rPr>
        <w:t xml:space="preserve"> KLK14 </w:t>
      </w:r>
      <w:r>
        <w:rPr>
          <w:rFonts w:ascii="宋体" w:hAnsi="宋体" w:cs="宋体"/>
          <w:color w:val="000000"/>
          <w:spacing w:val="0"/>
          <w:sz w:val="21"/>
        </w:rPr>
        <w:t>蛋白能促进</w:t>
      </w:r>
      <w:r>
        <w:rPr>
          <w:rFonts w:ascii="Times New Roman"/>
          <w:color w:val="000000"/>
          <w:spacing w:val="0"/>
          <w:sz w:val="21"/>
        </w:rPr>
        <w:t xml:space="preserve"> L </w:t>
      </w:r>
      <w:r>
        <w:rPr>
          <w:rFonts w:ascii="宋体" w:hAnsi="宋体" w:cs="宋体"/>
          <w:color w:val="000000"/>
          <w:spacing w:val="0"/>
          <w:sz w:val="21"/>
        </w:rPr>
        <w:t>型星形胶质细胞增多，需增设一个</w:t>
      </w:r>
    </w:p>
    <w:p w14:paraId="6E3673DE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5"/>
          <w:sz w:val="21"/>
        </w:rPr>
        <w:t>实验组：</w:t>
      </w:r>
      <w:r>
        <w:rPr>
          <w:rFonts w:ascii="Times New Roman"/>
          <w:color w:val="000000"/>
          <w:spacing w:val="0"/>
          <w:sz w:val="21"/>
        </w:rPr>
        <w:t>_____________________________________________________________________________________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28C3015B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0"/>
          <w:sz w:val="21"/>
        </w:rPr>
        <w:t>）实验证明，热应激促进</w:t>
      </w:r>
      <w:r>
        <w:rPr>
          <w:rFonts w:ascii="Times New Roman"/>
          <w:color w:val="000000"/>
          <w:spacing w:val="0"/>
          <w:sz w:val="21"/>
        </w:rPr>
        <w:t xml:space="preserve"> L </w:t>
      </w:r>
      <w:r>
        <w:rPr>
          <w:rFonts w:ascii="宋体" w:hAnsi="宋体" w:cs="宋体"/>
          <w:color w:val="000000"/>
          <w:spacing w:val="0"/>
          <w:sz w:val="21"/>
        </w:rPr>
        <w:t>型星形胶质细胞释放</w:t>
      </w:r>
      <w:r>
        <w:rPr>
          <w:rFonts w:ascii="Times New Roman"/>
          <w:color w:val="000000"/>
          <w:spacing w:val="0"/>
          <w:sz w:val="21"/>
        </w:rPr>
        <w:t xml:space="preserve"> GABA </w:t>
      </w:r>
      <w:r>
        <w:rPr>
          <w:rFonts w:ascii="宋体" w:hAnsi="宋体" w:cs="宋体"/>
          <w:color w:val="000000"/>
          <w:spacing w:val="0"/>
          <w:sz w:val="21"/>
        </w:rPr>
        <w:t>递质，抑制邻近</w:t>
      </w:r>
      <w:r>
        <w:rPr>
          <w:rFonts w:ascii="Times New Roman"/>
          <w:color w:val="000000"/>
          <w:spacing w:val="0"/>
          <w:sz w:val="21"/>
        </w:rPr>
        <w:t xml:space="preserve"> OXT </w:t>
      </w:r>
      <w:r>
        <w:rPr>
          <w:rFonts w:ascii="宋体" w:hAnsi="宋体" w:cs="宋体"/>
          <w:color w:val="000000"/>
          <w:spacing w:val="0"/>
          <w:sz w:val="21"/>
        </w:rPr>
        <w:t>神经元活动。已知</w:t>
      </w:r>
      <w:r>
        <w:rPr>
          <w:rFonts w:ascii="Times New Roman"/>
          <w:color w:val="000000"/>
          <w:spacing w:val="0"/>
          <w:sz w:val="21"/>
        </w:rPr>
        <w:t xml:space="preserve"> OXT</w:t>
      </w:r>
    </w:p>
    <w:p w14:paraId="41DB524F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6"/>
          <w:sz w:val="21"/>
        </w:rPr>
        <w:t>神经元可激活交感神经系统来调节机体的代谢。综合上述信息，补充图</w:t>
      </w:r>
      <w:r>
        <w:rPr>
          <w:rFonts w:ascii="Times New Roman"/>
          <w:color w:val="000000"/>
          <w:spacing w:val="29"/>
          <w:sz w:val="21"/>
        </w:rPr>
        <w:t>2</w:t>
      </w:r>
      <w:r>
        <w:rPr>
          <w:rFonts w:ascii="宋体" w:hAnsi="宋体" w:cs="宋体"/>
          <w:color w:val="000000"/>
          <w:spacing w:val="-9"/>
          <w:sz w:val="21"/>
        </w:rPr>
        <w:t>调节通路中①、②效应</w:t>
      </w:r>
      <w:r>
        <w:rPr>
          <w:rFonts w:ascii="Times New Roman"/>
          <w:color w:val="000000"/>
          <w:spacing w:val="6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___________</w:t>
      </w:r>
    </w:p>
    <w:p w14:paraId="2D85DC0B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（填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宋体" w:hAnsi="宋体" w:cs="宋体"/>
          <w:color w:val="000000"/>
          <w:spacing w:val="0"/>
          <w:sz w:val="21"/>
        </w:rPr>
        <w:t>兴奋</w:t>
      </w:r>
      <w:r>
        <w:rPr>
          <w:rFonts w:ascii="Times New Roman" w:hAnsi="Times New Roman" w:cs="Times New Roman"/>
          <w:color w:val="000000"/>
          <w:spacing w:val="0"/>
          <w:sz w:val="21"/>
        </w:rPr>
        <w:t>”</w:t>
      </w:r>
      <w:r>
        <w:rPr>
          <w:rFonts w:ascii="宋体" w:hAnsi="宋体" w:cs="宋体"/>
          <w:color w:val="000000"/>
          <w:spacing w:val="0"/>
          <w:sz w:val="21"/>
        </w:rPr>
        <w:t>或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宋体" w:hAnsi="宋体" w:cs="宋体"/>
          <w:color w:val="000000"/>
          <w:spacing w:val="0"/>
          <w:sz w:val="21"/>
        </w:rPr>
        <w:t>抑制</w:t>
      </w:r>
      <w:r>
        <w:rPr>
          <w:rFonts w:ascii="Times New Roman" w:hAnsi="Times New Roman" w:cs="Times New Roman"/>
          <w:color w:val="000000"/>
          <w:spacing w:val="0"/>
          <w:sz w:val="21"/>
        </w:rPr>
        <w:t>”</w:t>
      </w:r>
      <w:r>
        <w:rPr>
          <w:rFonts w:ascii="宋体" w:hAnsi="宋体" w:cs="宋体"/>
          <w:color w:val="000000"/>
          <w:spacing w:val="-105"/>
          <w:sz w:val="21"/>
        </w:rPr>
        <w:t>）。</w:t>
      </w:r>
    </w:p>
    <w:p w14:paraId="3BE0FEB4">
      <w:pPr>
        <w:spacing w:before="2723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宋体" w:hAnsi="宋体" w:cs="宋体"/>
          <w:color w:val="000000"/>
          <w:spacing w:val="0"/>
          <w:sz w:val="21"/>
        </w:rPr>
        <w:t>）该研究揭示了机体对热应激长期效应的</w:t>
      </w:r>
      <w:r>
        <w:rPr>
          <w:rFonts w:ascii="Times New Roman"/>
          <w:color w:val="000000"/>
          <w:spacing w:val="0"/>
          <w:sz w:val="21"/>
        </w:rPr>
        <w:t>______________</w:t>
      </w:r>
      <w:r>
        <w:rPr>
          <w:rFonts w:ascii="宋体" w:hAnsi="宋体" w:cs="宋体"/>
          <w:color w:val="000000"/>
          <w:spacing w:val="-1"/>
          <w:sz w:val="21"/>
        </w:rPr>
        <w:t>调节机制。基于上述调节通路，提出一种干预</w:t>
      </w:r>
    </w:p>
    <w:p w14:paraId="2F36819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热应激长期效应，且不影响其短期效应的策略。</w:t>
      </w:r>
      <w:r>
        <w:rPr>
          <w:rFonts w:ascii="Times New Roman"/>
          <w:color w:val="000000"/>
          <w:spacing w:val="0"/>
          <w:sz w:val="21"/>
        </w:rPr>
        <w:t>__________________________________________________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692EC6AE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19.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水库兼具水源供给与生态旅游服务功能，但部分水库面临水质退化与富营养化等问题，影响了区域可持</w:t>
      </w:r>
    </w:p>
    <w:p w14:paraId="207DD516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3"/>
          <w:sz w:val="21"/>
        </w:rPr>
        <w:t>续发展。研究人员以某大型水库为对象，系统分析其生态系统结构与能量流动规律（如图），以采取适当管</w:t>
      </w:r>
    </w:p>
    <w:p w14:paraId="762845D1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理措施实现生态与经济协同增效。</w:t>
      </w:r>
    </w:p>
    <w:p w14:paraId="217AFAB8">
      <w:pPr>
        <w:spacing w:before="2461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7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10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1A36D2E7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54EB6656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1237C3F8">
      <w:pPr>
        <w:sectPr>
          <w:pgSz w:w="11900" w:h="16840"/>
          <w:pgMar w:top="5499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497A6C2B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2102795E">
      <w:pPr>
        <w:spacing w:before="0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31" o:spid="_x0000_s1057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" o:title=""/>
            <o:lock v:ext="edit" aspectratio="t"/>
          </v:shape>
        </w:pict>
      </w:r>
      <w:r>
        <w:pict>
          <v:shape id="_x000032" o:spid="_x0000_s1058" o:spt="75" type="#_x0000_t75" style="position:absolute;left:0pt;margin-left:212.1pt;margin-top:473.25pt;height:5.75pt;width: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pict>
          <v:shape id="_x000033" o:spid="_x0000_s1059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34" o:spid="_x0000_s1060" o:spt="75" type="#_x0000_t75" style="position:absolute;left:0pt;margin-left:53pt;margin-top:67.3pt;height:154.35pt;width:322.3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9" o:title=""/>
            <o:lock v:ext="edit" aspectratio="t"/>
          </v:shape>
        </w:pict>
      </w:r>
      <w:r>
        <w:pict>
          <v:shape id="_x000035" o:spid="_x0000_s1061" o:spt="75" type="#_x0000_t75" style="position:absolute;left:0pt;margin-left:263.1pt;margin-top:228.6pt;height:17.75pt;width:59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0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注：数值示不同营养级间的能量流动（单位：</w:t>
      </w:r>
      <w:r>
        <w:rPr>
          <w:rFonts w:ascii="Times New Roman"/>
          <w:color w:val="000000"/>
          <w:spacing w:val="108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）或转化效率（某一营养级产出的能量占流入该</w:t>
      </w:r>
    </w:p>
    <w:p w14:paraId="4FC22FBB">
      <w:pPr>
        <w:spacing w:before="326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营养级能量的百分比）</w:t>
      </w:r>
    </w:p>
    <w:p w14:paraId="4F0CB90B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回答下列问题：</w:t>
      </w:r>
    </w:p>
    <w:p w14:paraId="67D09C34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）图中显示，多个营养级不同食性的鱼类均有部分能量流出该生态系统，主要用于休闲垂钓和食用等。</w:t>
      </w:r>
    </w:p>
    <w:p w14:paraId="392C0C95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这体现了生物多样性的</w:t>
      </w:r>
      <w:r>
        <w:rPr>
          <w:rFonts w:ascii="Times New Roman"/>
          <w:color w:val="000000"/>
          <w:spacing w:val="0"/>
          <w:sz w:val="21"/>
        </w:rPr>
        <w:t>_____________</w:t>
      </w:r>
      <w:r>
        <w:rPr>
          <w:rFonts w:ascii="宋体" w:hAnsi="宋体" w:cs="宋体"/>
          <w:color w:val="000000"/>
          <w:spacing w:val="0"/>
          <w:sz w:val="21"/>
        </w:rPr>
        <w:t>价值。</w:t>
      </w:r>
    </w:p>
    <w:p w14:paraId="4AB77348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）在有限的库区水域内，某种优势鱼类种群数量的增加会导致病原体传播加速，进而抑制种群数量的进</w:t>
      </w:r>
    </w:p>
    <w:p w14:paraId="101B5291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一步增长。这种影响因素属于</w:t>
      </w:r>
      <w:r>
        <w:rPr>
          <w:rFonts w:ascii="Times New Roman"/>
          <w:color w:val="000000"/>
          <w:spacing w:val="0"/>
          <w:sz w:val="21"/>
        </w:rPr>
        <w:t>______________________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7C1B6B1B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0"/>
          <w:sz w:val="21"/>
        </w:rPr>
        <w:t>）水库生态系统存在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宋体" w:hAnsi="宋体" w:cs="宋体"/>
          <w:color w:val="000000"/>
          <w:spacing w:val="0"/>
          <w:sz w:val="21"/>
        </w:rPr>
        <w:t>清水态</w:t>
      </w:r>
      <w:r>
        <w:rPr>
          <w:rFonts w:ascii="Times New Roman" w:hAnsi="Times New Roman" w:cs="Times New Roman"/>
          <w:color w:val="000000"/>
          <w:spacing w:val="0"/>
          <w:sz w:val="21"/>
        </w:rPr>
        <w:t>”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宋体" w:hAnsi="宋体" w:cs="宋体"/>
          <w:color w:val="000000"/>
          <w:spacing w:val="0"/>
          <w:sz w:val="21"/>
        </w:rPr>
        <w:t>浊水态</w:t>
      </w:r>
      <w:r>
        <w:rPr>
          <w:rFonts w:ascii="Times New Roman" w:hAnsi="Times New Roman" w:cs="Times New Roman"/>
          <w:color w:val="000000"/>
          <w:spacing w:val="0"/>
          <w:sz w:val="21"/>
        </w:rPr>
        <w:t>”</w:t>
      </w:r>
      <w:r>
        <w:rPr>
          <w:rFonts w:ascii="宋体" w:hAnsi="宋体" w:cs="宋体"/>
          <w:color w:val="000000"/>
          <w:spacing w:val="0"/>
          <w:sz w:val="21"/>
        </w:rPr>
        <w:t>两种状态。若当前水库处于水华严重的浊水态，仅通过减少氮</w:t>
      </w:r>
    </w:p>
    <w:p w14:paraId="653E6FB3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磷输入无法使其自动恢复为清水态。据图，从生态系统能量流动的角度推测其主要原因是</w:t>
      </w:r>
    </w:p>
    <w:p w14:paraId="43CAAC65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_____________________________________________________________________</w:t>
      </w:r>
      <w:r>
        <w:rPr>
          <w:rFonts w:ascii="宋体" w:hAnsi="宋体" w:cs="宋体"/>
          <w:color w:val="000000"/>
          <w:spacing w:val="-17"/>
          <w:sz w:val="21"/>
        </w:rPr>
        <w:t>（答两点）。</w:t>
      </w:r>
    </w:p>
    <w:p w14:paraId="6FA7CD88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宋体" w:hAnsi="宋体" w:cs="宋体"/>
          <w:color w:val="000000"/>
          <w:spacing w:val="0"/>
          <w:sz w:val="21"/>
        </w:rPr>
        <w:t>）针对（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0"/>
          <w:sz w:val="21"/>
        </w:rPr>
        <w:t>）中所述原因，可采取的生态调控措施包括</w:t>
      </w:r>
    </w:p>
    <w:p w14:paraId="55B778AC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_______________________________________________</w:t>
      </w:r>
      <w:r>
        <w:rPr>
          <w:rFonts w:ascii="宋体" w:hAnsi="宋体" w:cs="宋体"/>
          <w:color w:val="000000"/>
          <w:spacing w:val="0"/>
          <w:sz w:val="21"/>
        </w:rPr>
        <w:t>，这些措施体现了生态工程遵循的基本原理有</w:t>
      </w:r>
    </w:p>
    <w:p w14:paraId="07DA341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____________________________________</w:t>
      </w:r>
      <w:r>
        <w:rPr>
          <w:rFonts w:ascii="宋体" w:hAnsi="宋体" w:cs="宋体"/>
          <w:color w:val="000000"/>
          <w:spacing w:val="-17"/>
          <w:sz w:val="21"/>
        </w:rPr>
        <w:t>（答两点）。</w:t>
      </w:r>
    </w:p>
    <w:p w14:paraId="7FDF2061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20.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疟疾是由疟原虫引起、经按蚊传播的传染病，对人类健康构成严重威胁。雌蚊成虫吸血后产卵，雄蚊不</w:t>
      </w:r>
    </w:p>
    <w:p w14:paraId="11EF327A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吸血。研究人员成功培育出一种转抗菌肽基因（</w:t>
      </w:r>
      <w:r>
        <w:rPr>
          <w:rFonts w:ascii="Times New Roman"/>
          <w:color w:val="000000"/>
          <w:spacing w:val="0"/>
          <w:sz w:val="21"/>
        </w:rPr>
        <w:t>MM-CP</w:t>
      </w:r>
      <w:r>
        <w:rPr>
          <w:rFonts w:ascii="宋体" w:hAnsi="宋体" w:cs="宋体"/>
          <w:color w:val="000000"/>
          <w:spacing w:val="0"/>
          <w:sz w:val="21"/>
        </w:rPr>
        <w:t>）按蚊。该抗菌肽仅在雌蚊吸血后高表达，可有效</w:t>
      </w:r>
    </w:p>
    <w:p w14:paraId="288651D3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抑制按蚊肠道内疟原虫的发育，为疟疾防控提供了新思路。回答下列问题：</w:t>
      </w:r>
    </w:p>
    <w:p w14:paraId="5AC4FD8A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）构建该转基因按蚊涉及的可遗传变异类型属于</w:t>
      </w:r>
      <w:r>
        <w:rPr>
          <w:rFonts w:ascii="Times New Roman"/>
          <w:color w:val="000000"/>
          <w:spacing w:val="0"/>
          <w:sz w:val="21"/>
        </w:rPr>
        <w:t>______________</w:t>
      </w:r>
      <w:r>
        <w:rPr>
          <w:rFonts w:ascii="宋体" w:hAnsi="宋体" w:cs="宋体"/>
          <w:color w:val="000000"/>
          <w:spacing w:val="-5"/>
          <w:sz w:val="21"/>
        </w:rPr>
        <w:t>。</w:t>
      </w:r>
      <w:r>
        <w:rPr>
          <w:rFonts w:ascii="Times New Roman"/>
          <w:color w:val="000000"/>
          <w:spacing w:val="0"/>
          <w:sz w:val="21"/>
        </w:rPr>
        <w:t>MM-CP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转录形成的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mRNA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在翻译过</w:t>
      </w:r>
    </w:p>
    <w:p w14:paraId="2E8CE22F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程中，</w:t>
      </w:r>
      <w:r>
        <w:rPr>
          <w:rFonts w:ascii="Times New Roman"/>
          <w:color w:val="000000"/>
          <w:spacing w:val="0"/>
          <w:sz w:val="21"/>
        </w:rPr>
        <w:t xml:space="preserve">tRNA </w:t>
      </w:r>
      <w:r>
        <w:rPr>
          <w:rFonts w:ascii="宋体" w:hAnsi="宋体" w:cs="宋体"/>
          <w:color w:val="000000"/>
          <w:spacing w:val="0"/>
          <w:sz w:val="21"/>
        </w:rPr>
        <w:t>上的</w:t>
      </w:r>
      <w:r>
        <w:rPr>
          <w:rFonts w:ascii="Times New Roman"/>
          <w:color w:val="000000"/>
          <w:spacing w:val="0"/>
          <w:sz w:val="21"/>
        </w:rPr>
        <w:t>____________</w:t>
      </w:r>
      <w:r>
        <w:rPr>
          <w:rFonts w:ascii="宋体" w:hAnsi="宋体" w:cs="宋体"/>
          <w:color w:val="000000"/>
          <w:spacing w:val="0"/>
          <w:sz w:val="21"/>
        </w:rPr>
        <w:t>与</w:t>
      </w:r>
      <w:r>
        <w:rPr>
          <w:rFonts w:ascii="Times New Roman"/>
          <w:color w:val="000000"/>
          <w:spacing w:val="0"/>
          <w:sz w:val="21"/>
        </w:rPr>
        <w:t xml:space="preserve"> mRNA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上的密码子互补配对，将氨基酸转运至核糖体参与抗菌肽合成。</w:t>
      </w:r>
    </w:p>
    <w:p w14:paraId="482030CC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）研究发现，抗菌肽影响按蚊自身存活。转基因雌蚊吸血后存活率显著降低，但多数个体能在死亡前完</w:t>
      </w:r>
    </w:p>
    <w:p w14:paraId="4C071F6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成繁殖。推测转基因按蚊中调控</w:t>
      </w:r>
      <w:r>
        <w:rPr>
          <w:rFonts w:ascii="Times New Roman"/>
          <w:color w:val="000000"/>
          <w:spacing w:val="0"/>
          <w:sz w:val="21"/>
        </w:rPr>
        <w:t xml:space="preserve"> MM-CP </w:t>
      </w:r>
      <w:r>
        <w:rPr>
          <w:rFonts w:ascii="宋体" w:hAnsi="宋体" w:cs="宋体"/>
          <w:color w:val="000000"/>
          <w:spacing w:val="0"/>
          <w:sz w:val="21"/>
        </w:rPr>
        <w:t>表达的启动子类型为</w:t>
      </w:r>
      <w:r>
        <w:rPr>
          <w:rFonts w:ascii="Times New Roman"/>
          <w:color w:val="000000"/>
          <w:spacing w:val="0"/>
          <w:sz w:val="21"/>
        </w:rPr>
        <w:t>_____________</w:t>
      </w:r>
      <w:r>
        <w:rPr>
          <w:rFonts w:ascii="宋体" w:hAnsi="宋体" w:cs="宋体"/>
          <w:color w:val="000000"/>
          <w:spacing w:val="0"/>
          <w:sz w:val="21"/>
        </w:rPr>
        <w:t>。从基因传递的角度分析，选</w:t>
      </w:r>
    </w:p>
    <w:p w14:paraId="02600186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用该类启动子的原因是</w:t>
      </w:r>
      <w:r>
        <w:rPr>
          <w:rFonts w:ascii="Times New Roman"/>
          <w:color w:val="000000"/>
          <w:spacing w:val="0"/>
          <w:sz w:val="21"/>
        </w:rPr>
        <w:t>________________________________________________________________________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6B4638D2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为降低抗菌肽对按蚊的不利影响，运用蛋白质工程原理提出一种改造</w:t>
      </w:r>
      <w:r>
        <w:rPr>
          <w:rFonts w:ascii="Times New Roman"/>
          <w:color w:val="000000"/>
          <w:spacing w:val="0"/>
          <w:sz w:val="21"/>
        </w:rPr>
        <w:t xml:space="preserve"> MM-CP </w:t>
      </w:r>
      <w:r>
        <w:rPr>
          <w:rFonts w:ascii="宋体" w:hAnsi="宋体" w:cs="宋体"/>
          <w:color w:val="000000"/>
          <w:spacing w:val="0"/>
          <w:sz w:val="21"/>
        </w:rPr>
        <w:t>的设计思路。</w:t>
      </w:r>
    </w:p>
    <w:p w14:paraId="67E42818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___________________________________________________________________________________________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4F6F0623">
      <w:pPr>
        <w:spacing w:before="108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8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10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5249D923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6F8900AB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349E3218">
      <w:pPr>
        <w:sectPr>
          <w:pgSz w:w="11900" w:h="16840"/>
          <w:pgMar w:top="4651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137C1CD3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45EA357F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36" o:spid="_x0000_s1062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37" o:spid="_x0000_s1063" o:spt="75" type="#_x0000_t75" style="position:absolute;left:0pt;margin-left:53pt;margin-top:426.75pt;height:121.3pt;width:256.3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1" o:title=""/>
            <o:lock v:ext="edit" aspectratio="t"/>
          </v:shape>
        </w:pict>
      </w:r>
      <w:r>
        <w:pict>
          <v:shape id="_x000038" o:spid="_x0000_s1064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39" o:spid="_x0000_s1065" o:spt="75" type="#_x0000_t75" style="position:absolute;left:0pt;margin-left:53pt;margin-top:159.6pt;height:125.05pt;width:237.6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2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-7"/>
          <w:sz w:val="21"/>
        </w:rPr>
        <w:t>）基于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CRISPR/Cas9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系统的基因驱动技术，可使特定基因从亲代到子代的遗传概率显著高于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50%</w:t>
      </w:r>
      <w:r>
        <w:rPr>
          <w:rFonts w:ascii="宋体" w:hAnsi="宋体" w:cs="宋体"/>
          <w:color w:val="000000"/>
          <w:spacing w:val="-7"/>
          <w:sz w:val="21"/>
        </w:rPr>
        <w:t>，从而</w:t>
      </w:r>
    </w:p>
    <w:p w14:paraId="321AFB20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3"/>
          <w:sz w:val="21"/>
        </w:rPr>
        <w:t>在种群中快速扩散。研究人员培育了驱动型和非驱动型转基因按蚊（如图）。与非驱动型相比，驱动型后代</w:t>
      </w:r>
    </w:p>
    <w:p w14:paraId="50FF48E3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中携带</w:t>
      </w:r>
      <w:r>
        <w:rPr>
          <w:rFonts w:ascii="Times New Roman"/>
          <w:color w:val="000000"/>
          <w:spacing w:val="0"/>
          <w:sz w:val="21"/>
        </w:rPr>
        <w:t xml:space="preserve"> MM-CP </w:t>
      </w:r>
      <w:r>
        <w:rPr>
          <w:rFonts w:ascii="宋体" w:hAnsi="宋体" w:cs="宋体"/>
          <w:color w:val="000000"/>
          <w:spacing w:val="0"/>
          <w:sz w:val="21"/>
        </w:rPr>
        <w:t>的个体比例显著增加，其原因是：形成配子时，</w:t>
      </w:r>
      <w:r>
        <w:rPr>
          <w:rFonts w:ascii="Times New Roman"/>
          <w:color w:val="000000"/>
          <w:spacing w:val="0"/>
          <w:sz w:val="21"/>
        </w:rPr>
        <w:t xml:space="preserve">Cas9 </w:t>
      </w:r>
      <w:r>
        <w:rPr>
          <w:rFonts w:ascii="宋体" w:hAnsi="宋体" w:cs="宋体"/>
          <w:color w:val="000000"/>
          <w:spacing w:val="0"/>
          <w:sz w:val="21"/>
        </w:rPr>
        <w:t>切割野生型染色体，然后</w:t>
      </w:r>
    </w:p>
    <w:p w14:paraId="2A97629C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______________________________________</w:t>
      </w:r>
      <w:r>
        <w:rPr>
          <w:rFonts w:ascii="宋体" w:hAnsi="宋体" w:cs="宋体"/>
          <w:color w:val="000000"/>
          <w:spacing w:val="0"/>
          <w:sz w:val="21"/>
        </w:rPr>
        <w:t>，使更多配子携带</w:t>
      </w:r>
      <w:r>
        <w:rPr>
          <w:rFonts w:ascii="Times New Roman"/>
          <w:color w:val="000000"/>
          <w:spacing w:val="0"/>
          <w:sz w:val="21"/>
        </w:rPr>
        <w:t xml:space="preserve"> MM-CP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58E32BC2">
      <w:pPr>
        <w:spacing w:before="2723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宋体" w:hAnsi="宋体" w:cs="宋体"/>
          <w:color w:val="000000"/>
          <w:spacing w:val="0"/>
          <w:sz w:val="21"/>
        </w:rPr>
        <w:t>）若将该驱动型转基因按蚊大范围释放，可能引发一些潜在风险。试从生物进化角度提出一种潜在风</w:t>
      </w:r>
    </w:p>
    <w:p w14:paraId="7BD0CC20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险。</w:t>
      </w:r>
      <w:r>
        <w:rPr>
          <w:rFonts w:ascii="Times New Roman"/>
          <w:color w:val="000000"/>
          <w:spacing w:val="0"/>
          <w:sz w:val="21"/>
        </w:rPr>
        <w:t>_______________________________________________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7FA8B6B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21.</w:t>
      </w:r>
      <w:r>
        <w:rPr>
          <w:rFonts w:ascii="Times New Roman"/>
          <w:color w:val="000000"/>
          <w:spacing w:val="55"/>
          <w:sz w:val="21"/>
        </w:rPr>
        <w:t xml:space="preserve"> </w:t>
      </w:r>
      <w:r>
        <w:rPr>
          <w:rFonts w:ascii="宋体" w:hAnsi="宋体" w:cs="宋体"/>
          <w:color w:val="000000"/>
          <w:spacing w:val="2"/>
          <w:sz w:val="21"/>
        </w:rPr>
        <w:t>玉米籽粒胚乳的粉质与硬质是具有重要农艺价值的一对相对性状。我国科学家在对玉米粉质品系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A </w:t>
      </w:r>
      <w:r>
        <w:rPr>
          <w:rFonts w:ascii="宋体" w:hAnsi="宋体" w:cs="宋体"/>
          <w:color w:val="000000"/>
          <w:spacing w:val="0"/>
          <w:sz w:val="21"/>
        </w:rPr>
        <w:t>和</w:t>
      </w:r>
    </w:p>
    <w:p w14:paraId="1897A48A">
      <w:pPr>
        <w:spacing w:before="208" w:after="0" w:line="25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2"/>
          <w:sz w:val="21"/>
        </w:rPr>
        <w:t>硬质品系</w:t>
      </w:r>
      <w:r>
        <w:rPr>
          <w:rFonts w:ascii="Times New Roman"/>
          <w:color w:val="000000"/>
          <w:spacing w:val="0"/>
          <w:sz w:val="21"/>
        </w:rPr>
        <w:t xml:space="preserve"> W </w:t>
      </w:r>
      <w:r>
        <w:rPr>
          <w:rFonts w:ascii="宋体" w:hAnsi="宋体" w:cs="宋体"/>
          <w:color w:val="000000"/>
          <w:spacing w:val="2"/>
          <w:sz w:val="21"/>
        </w:rPr>
        <w:t>两个纯合品系的研究中，发现等位基因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V</w:t>
      </w:r>
      <w:r>
        <w:rPr>
          <w:rFonts w:ascii="Times New Roman"/>
          <w:color w:val="000000"/>
          <w:spacing w:val="0"/>
          <w:sz w:val="23"/>
          <w:vertAlign w:val="superscript"/>
        </w:rPr>
        <w:t>A</w:t>
      </w:r>
      <w:r>
        <w:rPr>
          <w:rFonts w:ascii="Times New Roman"/>
          <w:color w:val="000000"/>
          <w:spacing w:val="-6"/>
          <w:sz w:val="23"/>
          <w:vertAlign w:val="super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V</w:t>
      </w:r>
      <w:r>
        <w:rPr>
          <w:rFonts w:ascii="Times New Roman"/>
          <w:color w:val="000000"/>
          <w:spacing w:val="0"/>
          <w:sz w:val="23"/>
          <w:vertAlign w:val="superscript"/>
        </w:rPr>
        <w:t>W</w:t>
      </w:r>
      <w:r>
        <w:rPr>
          <w:rFonts w:ascii="Times New Roman"/>
          <w:color w:val="000000"/>
          <w:spacing w:val="-6"/>
          <w:sz w:val="23"/>
          <w:vertAlign w:val="superscript"/>
        </w:rPr>
        <w:t xml:space="preserve"> </w:t>
      </w:r>
      <w:r>
        <w:rPr>
          <w:rFonts w:ascii="宋体" w:hAnsi="宋体" w:cs="宋体"/>
          <w:color w:val="000000"/>
          <w:spacing w:val="2"/>
          <w:sz w:val="21"/>
        </w:rPr>
        <w:t>可能参与该性状的调控。进一步研究发现，</w:t>
      </w:r>
    </w:p>
    <w:p w14:paraId="2E6FFFCD">
      <w:pPr>
        <w:spacing w:before="208" w:after="0" w:line="25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1"/>
          <w:sz w:val="21"/>
        </w:rPr>
        <w:t>这对基因的序列长度存在差异（图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宋体" w:hAnsi="宋体" w:cs="宋体"/>
          <w:color w:val="000000"/>
          <w:spacing w:val="-11"/>
          <w:sz w:val="21"/>
        </w:rPr>
        <w:t>），且在胚乳发育过程中</w:t>
      </w:r>
      <w:r>
        <w:rPr>
          <w:rFonts w:ascii="Times New Roman"/>
          <w:color w:val="000000"/>
          <w:spacing w:val="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V</w:t>
      </w:r>
      <w:r>
        <w:rPr>
          <w:rFonts w:ascii="Times New Roman"/>
          <w:color w:val="000000"/>
          <w:spacing w:val="0"/>
          <w:sz w:val="23"/>
          <w:vertAlign w:val="superscript"/>
        </w:rPr>
        <w:t>A</w:t>
      </w:r>
      <w:r>
        <w:rPr>
          <w:rFonts w:ascii="Times New Roman"/>
          <w:color w:val="000000"/>
          <w:spacing w:val="-11"/>
          <w:sz w:val="23"/>
          <w:vertAlign w:val="super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的表达量显著低于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V</w:t>
      </w:r>
      <w:r>
        <w:rPr>
          <w:rFonts w:ascii="Times New Roman"/>
          <w:color w:val="000000"/>
          <w:spacing w:val="0"/>
          <w:sz w:val="23"/>
          <w:vertAlign w:val="superscript"/>
        </w:rPr>
        <w:t>W</w:t>
      </w:r>
      <w:r>
        <w:rPr>
          <w:rFonts w:ascii="Times New Roman"/>
          <w:color w:val="000000"/>
          <w:spacing w:val="-11"/>
          <w:sz w:val="23"/>
          <w:vertAlign w:val="superscript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的表达量。为明确这</w:t>
      </w:r>
    </w:p>
    <w:p w14:paraId="7592767D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对基因参与性状调控的机制，开展如下研究。</w:t>
      </w:r>
    </w:p>
    <w:p w14:paraId="1670A8D1">
      <w:pPr>
        <w:spacing w:before="2746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回答下列问题：</w:t>
      </w:r>
    </w:p>
    <w:p w14:paraId="2B963081">
      <w:pPr>
        <w:spacing w:before="223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）将两个品系进行正反交，获得的</w:t>
      </w:r>
      <w:r>
        <w:rPr>
          <w:rFonts w:ascii="Times New Roman"/>
          <w:color w:val="000000"/>
          <w:spacing w:val="0"/>
          <w:sz w:val="21"/>
        </w:rPr>
        <w:t xml:space="preserve"> F</w:t>
      </w:r>
      <w:r>
        <w:rPr>
          <w:rFonts w:ascii="Times New Roman"/>
          <w:color w:val="000000"/>
          <w:spacing w:val="0"/>
          <w:sz w:val="21"/>
          <w:vertAlign w:val="subscript"/>
        </w:rPr>
        <w:t>1</w:t>
      </w:r>
      <w:r>
        <w:rPr>
          <w:rFonts w:ascii="Times New Roman"/>
          <w:color w:val="000000"/>
          <w:spacing w:val="-2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籽粒胚乳均表现为硬质，可知硬质为</w:t>
      </w:r>
      <w:r>
        <w:rPr>
          <w:rFonts w:ascii="Times New Roman"/>
          <w:color w:val="000000"/>
          <w:spacing w:val="0"/>
          <w:sz w:val="21"/>
        </w:rPr>
        <w:t>__________</w:t>
      </w:r>
      <w:r>
        <w:rPr>
          <w:rFonts w:ascii="宋体" w:hAnsi="宋体" w:cs="宋体"/>
          <w:color w:val="000000"/>
          <w:spacing w:val="0"/>
          <w:sz w:val="21"/>
        </w:rPr>
        <w:t>性状。</w:t>
      </w:r>
    </w:p>
    <w:p w14:paraId="2BDDB9AC">
      <w:pPr>
        <w:spacing w:before="21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）根据这对基因的序列设计了</w:t>
      </w:r>
      <w:r>
        <w:rPr>
          <w:rFonts w:ascii="Times New Roman"/>
          <w:color w:val="000000"/>
          <w:spacing w:val="0"/>
          <w:sz w:val="21"/>
        </w:rPr>
        <w:t xml:space="preserve"> 3 </w:t>
      </w:r>
      <w:r>
        <w:rPr>
          <w:rFonts w:ascii="宋体" w:hAnsi="宋体" w:cs="宋体"/>
          <w:color w:val="000000"/>
          <w:spacing w:val="0"/>
          <w:sz w:val="21"/>
        </w:rPr>
        <w:t>种引物（图</w:t>
      </w:r>
      <w:r>
        <w:rPr>
          <w:rFonts w:ascii="Times New Roman"/>
          <w:color w:val="000000"/>
          <w:spacing w:val="0"/>
          <w:sz w:val="21"/>
        </w:rPr>
        <w:t xml:space="preserve"> a</w:t>
      </w:r>
      <w:r>
        <w:rPr>
          <w:rFonts w:ascii="宋体" w:hAnsi="宋体" w:cs="宋体"/>
          <w:color w:val="000000"/>
          <w:spacing w:val="-17"/>
          <w:sz w:val="21"/>
        </w:rPr>
        <w:t>），便于通过</w:t>
      </w:r>
      <w:r>
        <w:rPr>
          <w:rFonts w:ascii="Times New Roman"/>
          <w:color w:val="000000"/>
          <w:spacing w:val="1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PCR </w:t>
      </w:r>
      <w:r>
        <w:rPr>
          <w:rFonts w:ascii="宋体" w:hAnsi="宋体" w:cs="宋体"/>
          <w:color w:val="000000"/>
          <w:spacing w:val="0"/>
          <w:sz w:val="21"/>
        </w:rPr>
        <w:t>技术进行区分。</w:t>
      </w:r>
      <w:r>
        <w:rPr>
          <w:rFonts w:ascii="Times New Roman"/>
          <w:color w:val="000000"/>
          <w:spacing w:val="0"/>
          <w:sz w:val="21"/>
        </w:rPr>
        <w:t xml:space="preserve">PCR </w:t>
      </w:r>
      <w:r>
        <w:rPr>
          <w:rFonts w:ascii="宋体" w:hAnsi="宋体" w:cs="宋体"/>
          <w:color w:val="000000"/>
          <w:spacing w:val="0"/>
          <w:sz w:val="21"/>
        </w:rPr>
        <w:t>反应体系中包括这</w:t>
      </w:r>
    </w:p>
    <w:p w14:paraId="7709775F">
      <w:pPr>
        <w:spacing w:before="208" w:after="0" w:line="25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31"/>
          <w:sz w:val="21"/>
        </w:rPr>
        <w:t>3</w:t>
      </w:r>
      <w:r>
        <w:rPr>
          <w:rFonts w:ascii="宋体" w:hAnsi="宋体" w:cs="宋体"/>
          <w:color w:val="000000"/>
          <w:spacing w:val="0"/>
          <w:sz w:val="21"/>
        </w:rPr>
        <w:t>种引物、</w:t>
      </w:r>
      <w:r>
        <w:rPr>
          <w:rFonts w:ascii="Times New Roman"/>
          <w:color w:val="000000"/>
          <w:spacing w:val="-7"/>
          <w:sz w:val="21"/>
        </w:rPr>
        <w:t>Taq</w:t>
      </w:r>
      <w:r>
        <w:rPr>
          <w:rFonts w:ascii="Times New Roman"/>
          <w:color w:val="000000"/>
          <w:spacing w:val="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DNA</w:t>
      </w:r>
      <w:r>
        <w:rPr>
          <w:rFonts w:ascii="宋体" w:hAnsi="宋体" w:cs="宋体"/>
          <w:color w:val="000000"/>
          <w:spacing w:val="-9"/>
          <w:sz w:val="21"/>
        </w:rPr>
        <w:t>聚合酶（延伸速度约为</w:t>
      </w:r>
      <w:r>
        <w:rPr>
          <w:rFonts w:ascii="Times New Roman"/>
          <w:color w:val="000000"/>
          <w:spacing w:val="0"/>
          <w:sz w:val="21"/>
        </w:rPr>
        <w:t>1000 bp/min</w:t>
      </w:r>
      <w:r>
        <w:rPr>
          <w:rFonts w:ascii="宋体" w:hAnsi="宋体" w:cs="宋体"/>
          <w:color w:val="000000"/>
          <w:spacing w:val="-39"/>
          <w:sz w:val="21"/>
        </w:rPr>
        <w:t>）、缓冲液（含</w:t>
      </w:r>
      <w:r>
        <w:rPr>
          <w:rFonts w:ascii="Times New Roman"/>
          <w:color w:val="000000"/>
          <w:spacing w:val="0"/>
          <w:sz w:val="21"/>
        </w:rPr>
        <w:t>Mg</w:t>
      </w:r>
      <w:r>
        <w:rPr>
          <w:rFonts w:ascii="Times New Roman"/>
          <w:color w:val="000000"/>
          <w:spacing w:val="0"/>
          <w:sz w:val="23"/>
          <w:vertAlign w:val="superscript"/>
        </w:rPr>
        <w:t>2+</w:t>
      </w:r>
      <w:r>
        <w:rPr>
          <w:rFonts w:ascii="宋体" w:hAnsi="宋体" w:cs="宋体"/>
          <w:color w:val="000000"/>
          <w:spacing w:val="-64"/>
          <w:sz w:val="21"/>
        </w:rPr>
        <w:t>）、水</w:t>
      </w:r>
      <w:r>
        <w:rPr>
          <w:rFonts w:ascii="Times New Roman"/>
          <w:color w:val="000000"/>
          <w:spacing w:val="-5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31"/>
          <w:sz w:val="21"/>
        </w:rPr>
        <w:t>4</w:t>
      </w:r>
      <w:r>
        <w:rPr>
          <w:rFonts w:ascii="宋体" w:hAnsi="宋体" w:cs="宋体"/>
          <w:color w:val="000000"/>
          <w:spacing w:val="0"/>
          <w:sz w:val="21"/>
        </w:rPr>
        <w:t>种脱氧核苷酸和</w:t>
      </w:r>
      <w:r>
        <w:rPr>
          <w:rFonts w:ascii="Times New Roman"/>
          <w:color w:val="000000"/>
          <w:spacing w:val="0"/>
          <w:sz w:val="21"/>
        </w:rPr>
        <w:t>__________</w:t>
      </w:r>
      <w:r>
        <w:rPr>
          <w:rFonts w:ascii="宋体" w:hAnsi="宋体" w:cs="宋体"/>
          <w:color w:val="000000"/>
          <w:spacing w:val="0"/>
          <w:sz w:val="21"/>
        </w:rPr>
        <w:t>，</w:t>
      </w:r>
    </w:p>
    <w:p w14:paraId="13CF51B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反应参数见图</w:t>
      </w:r>
      <w:r>
        <w:rPr>
          <w:rFonts w:ascii="Times New Roman"/>
          <w:color w:val="000000"/>
          <w:spacing w:val="0"/>
          <w:sz w:val="21"/>
        </w:rPr>
        <w:t xml:space="preserve"> b</w:t>
      </w:r>
      <w:r>
        <w:rPr>
          <w:rFonts w:ascii="宋体" w:hAnsi="宋体" w:cs="宋体"/>
          <w:color w:val="000000"/>
          <w:spacing w:val="0"/>
          <w:sz w:val="21"/>
        </w:rPr>
        <w:t>。预测品系</w:t>
      </w:r>
      <w:r>
        <w:rPr>
          <w:rFonts w:ascii="Times New Roman"/>
          <w:color w:val="000000"/>
          <w:spacing w:val="0"/>
          <w:sz w:val="21"/>
        </w:rPr>
        <w:t xml:space="preserve"> W </w:t>
      </w:r>
      <w:r>
        <w:rPr>
          <w:rFonts w:ascii="宋体" w:hAnsi="宋体" w:cs="宋体"/>
          <w:color w:val="000000"/>
          <w:spacing w:val="0"/>
          <w:sz w:val="21"/>
        </w:rPr>
        <w:t>植株</w:t>
      </w:r>
      <w:r>
        <w:rPr>
          <w:rFonts w:ascii="Times New Roman"/>
          <w:color w:val="000000"/>
          <w:spacing w:val="0"/>
          <w:sz w:val="21"/>
        </w:rPr>
        <w:t xml:space="preserve"> PCR </w:t>
      </w:r>
      <w:r>
        <w:rPr>
          <w:rFonts w:ascii="宋体" w:hAnsi="宋体" w:cs="宋体"/>
          <w:color w:val="000000"/>
          <w:spacing w:val="0"/>
          <w:sz w:val="21"/>
        </w:rPr>
        <w:t>产物电泳结果符合①～⑤（图</w:t>
      </w:r>
      <w:r>
        <w:rPr>
          <w:rFonts w:ascii="Times New Roman"/>
          <w:color w:val="000000"/>
          <w:spacing w:val="0"/>
          <w:sz w:val="21"/>
        </w:rPr>
        <w:t xml:space="preserve"> c</w:t>
      </w:r>
      <w:r>
        <w:rPr>
          <w:rFonts w:ascii="宋体" w:hAnsi="宋体" w:cs="宋体"/>
          <w:color w:val="000000"/>
          <w:spacing w:val="0"/>
          <w:sz w:val="21"/>
        </w:rPr>
        <w:t>）中泳道</w:t>
      </w:r>
      <w:r>
        <w:rPr>
          <w:rFonts w:ascii="Times New Roman"/>
          <w:color w:val="000000"/>
          <w:spacing w:val="0"/>
          <w:sz w:val="21"/>
        </w:rPr>
        <w:t>_______________</w:t>
      </w:r>
      <w:r>
        <w:rPr>
          <w:rFonts w:ascii="宋体" w:hAnsi="宋体" w:cs="宋体"/>
          <w:color w:val="000000"/>
          <w:spacing w:val="0"/>
          <w:sz w:val="21"/>
        </w:rPr>
        <w:t>的带型。</w:t>
      </w:r>
    </w:p>
    <w:p w14:paraId="43822F13">
      <w:pPr>
        <w:spacing w:before="2137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9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10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6B8D1FDB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670794C6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6B15513A">
      <w:pPr>
        <w:sectPr>
          <w:pgSz w:w="11900" w:h="16840"/>
          <w:pgMar w:top="1440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7FF03387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bookmarkStart w:id="0" w:name="_GoBack"/>
      <w:bookmarkEnd w:id="0"/>
    </w:p>
    <w:p w14:paraId="19CC02C0">
      <w:pPr>
        <w:spacing w:before="0" w:after="0" w:line="25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40" o:spid="_x0000_s1066" o:spt="75" type="#_x0000_t75" style="position:absolute;left:0pt;margin-left:53pt;margin-top:67.3pt;height:138.6pt;width:422.9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3" o:title=""/>
            <o:lock v:ext="edit" aspectratio="t"/>
          </v:shape>
        </w:pict>
      </w:r>
      <w:r>
        <w:pict>
          <v:shape id="_x000041" o:spid="_x0000_s1067" o:spt="75" type="#_x0000_t75" style="position:absolute;left:0pt;margin-left:212.1pt;margin-top:473.25pt;height:5.75pt;width: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pict>
          <v:shape id="_x000042" o:spid="_x0000_s1068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1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0"/>
          <w:sz w:val="21"/>
        </w:rPr>
        <w:t>）基于品系</w:t>
      </w:r>
      <w:r>
        <w:rPr>
          <w:rFonts w:ascii="Times New Roman"/>
          <w:color w:val="000000"/>
          <w:spacing w:val="0"/>
          <w:sz w:val="21"/>
        </w:rPr>
        <w:t xml:space="preserve"> W </w:t>
      </w:r>
      <w:r>
        <w:rPr>
          <w:rFonts w:ascii="宋体" w:hAnsi="宋体" w:cs="宋体"/>
          <w:color w:val="000000"/>
          <w:spacing w:val="0"/>
          <w:sz w:val="21"/>
        </w:rPr>
        <w:t>构建了针对</w:t>
      </w:r>
      <w:r>
        <w:rPr>
          <w:rFonts w:ascii="Times New Roman"/>
          <w:color w:val="000000"/>
          <w:spacing w:val="0"/>
          <w:sz w:val="21"/>
        </w:rPr>
        <w:t xml:space="preserve"> V</w:t>
      </w:r>
      <w:r>
        <w:rPr>
          <w:rFonts w:ascii="Times New Roman"/>
          <w:color w:val="000000"/>
          <w:spacing w:val="0"/>
          <w:sz w:val="23"/>
          <w:vertAlign w:val="superscript"/>
        </w:rPr>
        <w:t>W</w:t>
      </w:r>
      <w:r>
        <w:rPr>
          <w:rFonts w:ascii="Times New Roman"/>
          <w:color w:val="000000"/>
          <w:spacing w:val="-6"/>
          <w:sz w:val="23"/>
          <w:vertAlign w:val="super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基因的</w:t>
      </w:r>
      <w:r>
        <w:rPr>
          <w:rFonts w:ascii="Times New Roman"/>
          <w:color w:val="000000"/>
          <w:spacing w:val="0"/>
          <w:sz w:val="21"/>
        </w:rPr>
        <w:t xml:space="preserve"> RNAi</w:t>
      </w:r>
      <w:r>
        <w:rPr>
          <w:rFonts w:ascii="宋体" w:hAnsi="宋体" w:cs="宋体"/>
          <w:color w:val="000000"/>
          <w:spacing w:val="0"/>
          <w:sz w:val="21"/>
        </w:rPr>
        <w:t>（可通过切割靶基因</w:t>
      </w:r>
      <w:r>
        <w:rPr>
          <w:rFonts w:ascii="Times New Roman"/>
          <w:color w:val="000000"/>
          <w:spacing w:val="0"/>
          <w:sz w:val="21"/>
        </w:rPr>
        <w:t xml:space="preserve"> mRNA </w:t>
      </w:r>
      <w:r>
        <w:rPr>
          <w:rFonts w:ascii="宋体" w:hAnsi="宋体" w:cs="宋体"/>
          <w:color w:val="000000"/>
          <w:spacing w:val="0"/>
          <w:sz w:val="21"/>
        </w:rPr>
        <w:t>显著降低其表达）转基因植株。</w:t>
      </w:r>
    </w:p>
    <w:p w14:paraId="7E8B019B">
      <w:pPr>
        <w:spacing w:before="208" w:after="0" w:line="25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鉴定转基因植株中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V</w:t>
      </w:r>
      <w:r>
        <w:rPr>
          <w:rFonts w:ascii="Times New Roman"/>
          <w:color w:val="000000"/>
          <w:spacing w:val="0"/>
          <w:sz w:val="23"/>
          <w:vertAlign w:val="superscript"/>
        </w:rPr>
        <w:t>W</w:t>
      </w:r>
      <w:r>
        <w:rPr>
          <w:rFonts w:ascii="Times New Roman"/>
          <w:color w:val="000000"/>
          <w:spacing w:val="-10"/>
          <w:sz w:val="23"/>
          <w:vertAlign w:val="superscript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基因表达是否受到影响，应提取植株</w:t>
      </w:r>
      <w:r>
        <w:rPr>
          <w:rFonts w:ascii="Times New Roman"/>
          <w:color w:val="000000"/>
          <w:spacing w:val="0"/>
          <w:sz w:val="21"/>
        </w:rPr>
        <w:t>_______________</w:t>
      </w:r>
      <w:r>
        <w:rPr>
          <w:rFonts w:ascii="宋体" w:hAnsi="宋体" w:cs="宋体"/>
          <w:color w:val="000000"/>
          <w:spacing w:val="0"/>
          <w:sz w:val="21"/>
        </w:rPr>
        <w:t>进行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PCR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宋体" w:hAnsi="宋体" w:cs="宋体"/>
          <w:color w:val="000000"/>
          <w:spacing w:val="-5"/>
          <w:sz w:val="21"/>
        </w:rPr>
        <w:t>检测。若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V</w:t>
      </w:r>
      <w:r>
        <w:rPr>
          <w:rFonts w:ascii="Times New Roman"/>
          <w:color w:val="000000"/>
          <w:spacing w:val="0"/>
          <w:sz w:val="23"/>
          <w:vertAlign w:val="superscript"/>
        </w:rPr>
        <w:t>W</w:t>
      </w:r>
      <w:r>
        <w:rPr>
          <w:rFonts w:ascii="Times New Roman"/>
          <w:color w:val="000000"/>
          <w:spacing w:val="-10"/>
          <w:sz w:val="23"/>
          <w:vertAlign w:val="super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基因参</w:t>
      </w:r>
    </w:p>
    <w:p w14:paraId="7C096804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与调控玉米胚乳性状，预测可得到下列结果（胚乳由极核和精子结合后发育而成，极核和卵细胞携带的基</w:t>
      </w:r>
    </w:p>
    <w:p w14:paraId="0B1FB0AD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21"/>
          <w:sz w:val="21"/>
        </w:rPr>
        <w:t>因相同）：</w:t>
      </w:r>
    </w:p>
    <w:p w14:paraId="01FF135E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①纯合转基因植株的籽粒胚乳性状为</w:t>
      </w:r>
      <w:r>
        <w:rPr>
          <w:rFonts w:ascii="Times New Roman"/>
          <w:color w:val="000000"/>
          <w:spacing w:val="0"/>
          <w:sz w:val="21"/>
        </w:rPr>
        <w:t>_________________</w:t>
      </w:r>
      <w:r>
        <w:rPr>
          <w:rFonts w:ascii="宋体" w:hAnsi="宋体" w:cs="宋体"/>
          <w:color w:val="000000"/>
          <w:spacing w:val="0"/>
          <w:sz w:val="21"/>
        </w:rPr>
        <w:t>；</w:t>
      </w:r>
    </w:p>
    <w:p w14:paraId="792D54E8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②杂合转基因植株自交产生的籽粒胚乳性状及比例为</w:t>
      </w:r>
      <w:r>
        <w:rPr>
          <w:rFonts w:ascii="Times New Roman"/>
          <w:color w:val="000000"/>
          <w:spacing w:val="0"/>
          <w:sz w:val="21"/>
        </w:rPr>
        <w:t>____________________________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464B429D">
      <w:pPr>
        <w:spacing w:before="208" w:after="0" w:line="25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宋体" w:hAnsi="宋体" w:cs="宋体"/>
          <w:color w:val="000000"/>
          <w:spacing w:val="0"/>
          <w:sz w:val="21"/>
        </w:rPr>
        <w:t>）已知</w:t>
      </w:r>
      <w:r>
        <w:rPr>
          <w:rFonts w:ascii="Times New Roman"/>
          <w:color w:val="000000"/>
          <w:spacing w:val="0"/>
          <w:sz w:val="21"/>
        </w:rPr>
        <w:t xml:space="preserve"> V</w:t>
      </w:r>
      <w:r>
        <w:rPr>
          <w:rFonts w:ascii="Times New Roman"/>
          <w:color w:val="000000"/>
          <w:spacing w:val="0"/>
          <w:sz w:val="23"/>
          <w:vertAlign w:val="superscript"/>
        </w:rPr>
        <w:t>W</w:t>
      </w:r>
      <w:r>
        <w:rPr>
          <w:rFonts w:ascii="Times New Roman"/>
          <w:color w:val="000000"/>
          <w:spacing w:val="-6"/>
          <w:sz w:val="23"/>
          <w:vertAlign w:val="super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基因编码一种酶，在胚乳发育过程中催化非极性胡萝卜素转化为下游产物。研究人员据此对</w:t>
      </w:r>
    </w:p>
    <w:p w14:paraId="2E0B2DEF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胚乳性状的产生提出了一个假设，并设计研究思路：对品系</w:t>
      </w:r>
      <w:r>
        <w:rPr>
          <w:rFonts w:ascii="Times New Roman"/>
          <w:color w:val="000000"/>
          <w:spacing w:val="0"/>
          <w:sz w:val="21"/>
        </w:rPr>
        <w:t xml:space="preserve"> A </w:t>
      </w:r>
      <w:r>
        <w:rPr>
          <w:rFonts w:ascii="宋体" w:hAnsi="宋体" w:cs="宋体"/>
          <w:color w:val="000000"/>
          <w:spacing w:val="0"/>
          <w:sz w:val="21"/>
        </w:rPr>
        <w:t>植株进行诱变，筛选胚乳变为硬质的突变体，</w:t>
      </w:r>
    </w:p>
    <w:p w14:paraId="122B618A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进而分析其中是否有非极性胡萝卜素合成途径的基因发生突变。推测研究人员提出的假设。最合理的是：</w:t>
      </w:r>
    </w:p>
    <w:p w14:paraId="401779F3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_____________________________________</w:t>
      </w:r>
      <w:r>
        <w:rPr>
          <w:rFonts w:ascii="宋体" w:hAnsi="宋体" w:cs="宋体"/>
          <w:color w:val="000000"/>
          <w:spacing w:val="0"/>
          <w:sz w:val="21"/>
        </w:rPr>
        <w:t>是产生品系</w:t>
      </w:r>
      <w:r>
        <w:rPr>
          <w:rFonts w:ascii="Times New Roman"/>
          <w:color w:val="000000"/>
          <w:spacing w:val="0"/>
          <w:sz w:val="21"/>
        </w:rPr>
        <w:t xml:space="preserve"> A </w:t>
      </w:r>
      <w:r>
        <w:rPr>
          <w:rFonts w:ascii="宋体" w:hAnsi="宋体" w:cs="宋体"/>
          <w:color w:val="000000"/>
          <w:spacing w:val="0"/>
          <w:sz w:val="21"/>
        </w:rPr>
        <w:t>粉质胚乳的原因。</w:t>
      </w:r>
    </w:p>
    <w:p w14:paraId="7EFE4827">
      <w:pPr>
        <w:spacing w:before="6664" w:after="0" w:line="243" w:lineRule="exact"/>
        <w:ind w:left="4111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10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10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sectPr>
      <w:pgSz w:w="11900" w:h="16840"/>
      <w:pgMar w:top="4241" w:right="100" w:bottom="0" w:left="1080" w:header="720" w:footer="720" w:gutter="0"/>
      <w:pgNumType w:start="1"/>
      <w:cols w:space="720" w:num="1"/>
      <w:docGrid w:linePitch="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  <w:embedRegular r:id="rId1" w:fontKey="{BF1D651F-006B-4018-B2A6-ABC473491415}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  <w:embedRegular r:id="rId2" w:fontKey="{6F2AB922-9787-416F-867F-D6447C28A717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0901D047-BF80-4691-AA13-175FF0788351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4" w:fontKey="{6E33D7B3-4583-4894-BFDA-E1243B0CEFF9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5" w:fontKey="{EC2DADBC-2274-4BB3-B5BE-BB93FC8D1811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6F6F3559-ADBB-4ADF-B63F-CDF4479D3CE4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7" w:fontKey="{91F1B53E-C173-49C3-9DEF-12F6A984CAE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C690D8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EFCEB1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E31A72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embedSystemFonts/>
  <w:documentProtection w:enforcement="0"/>
  <w:defaultTabStop w:val="708"/>
  <w:characterSpacingControl w:val="doNotCompress"/>
  <w:footnotePr>
    <w:footnote w:id="0"/>
    <w:footnote w:id="1"/>
  </w:foot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  <w:rsid w:val="57793C6D"/>
    <w:rsid w:val="7F6B3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4294967295" w:semiHidden="0" w:name="heading 1"/>
    <w:lsdException w:unhideWhenUsed="0" w:uiPriority="4294967295" w:semiHidden="0" w:name="heading 2"/>
    <w:lsdException w:unhideWhenUsed="0" w:uiPriority="4294967295" w:semiHidden="0" w:name="heading 3"/>
    <w:lsdException w:unhideWhenUsed="0" w:uiPriority="4294967295" w:semiHidden="0" w:name="heading 4"/>
    <w:lsdException w:unhideWhenUsed="0" w:uiPriority="4294967295" w:semiHidden="0" w:name="heading 5"/>
    <w:lsdException w:unhideWhenUsed="0" w:uiPriority="4294967295" w:semiHidden="0" w:name="heading 6"/>
    <w:lsdException w:unhideWhenUsed="0" w:uiPriority="4294967295" w:semiHidden="0" w:name="heading 7"/>
    <w:lsdException w:unhideWhenUsed="0" w:uiPriority="4294967295" w:semiHidden="0" w:name="heading 8"/>
    <w:lsdException w:unhideWhenUsed="0" w:uiPriority="4294967295" w:semiHidden="0" w:name="heading 9"/>
    <w:lsdException w:unhideWhenUsed="0" w:uiPriority="4294967295" w:semiHidden="0" w:name="index 1"/>
    <w:lsdException w:unhideWhenUsed="0" w:uiPriority="4294967295" w:semiHidden="0" w:name="index 2"/>
    <w:lsdException w:unhideWhenUsed="0" w:uiPriority="4294967295" w:semiHidden="0" w:name="index 3"/>
    <w:lsdException w:unhideWhenUsed="0" w:uiPriority="4294967295" w:semiHidden="0" w:name="index 4"/>
    <w:lsdException w:unhideWhenUsed="0" w:uiPriority="4294967295" w:semiHidden="0" w:name="index 5"/>
    <w:lsdException w:unhideWhenUsed="0" w:uiPriority="4294967295" w:semiHidden="0" w:name="index 6"/>
    <w:lsdException w:unhideWhenUsed="0" w:uiPriority="4294967295" w:semiHidden="0" w:name="index 7"/>
    <w:lsdException w:unhideWhenUsed="0" w:uiPriority="4294967295" w:semiHidden="0" w:name="index 8"/>
    <w:lsdException w:unhideWhenUsed="0" w:uiPriority="4294967295" w:semiHidden="0" w:name="index 9"/>
    <w:lsdException w:unhideWhenUsed="0" w:uiPriority="4294967295" w:semiHidden="0" w:name="toc 1"/>
    <w:lsdException w:unhideWhenUsed="0" w:uiPriority="4294967295" w:semiHidden="0" w:name="toc 2"/>
    <w:lsdException w:unhideWhenUsed="0" w:uiPriority="4294967295" w:semiHidden="0" w:name="toc 3"/>
    <w:lsdException w:unhideWhenUsed="0" w:uiPriority="4294967295" w:semiHidden="0" w:name="toc 4"/>
    <w:lsdException w:unhideWhenUsed="0" w:uiPriority="4294967295" w:semiHidden="0" w:name="toc 5"/>
    <w:lsdException w:unhideWhenUsed="0" w:uiPriority="4294967295" w:semiHidden="0" w:name="toc 6"/>
    <w:lsdException w:unhideWhenUsed="0" w:uiPriority="4294967295" w:semiHidden="0" w:name="toc 7"/>
    <w:lsdException w:unhideWhenUsed="0" w:uiPriority="4294967295" w:semiHidden="0" w:name="toc 8"/>
    <w:lsdException w:unhideWhenUsed="0" w:uiPriority="4294967295" w:semiHidden="0" w:name="toc 9"/>
    <w:lsdException w:unhideWhenUsed="0" w:uiPriority="4294967295" w:semiHidden="0" w:name="Normal Indent"/>
    <w:lsdException w:unhideWhenUsed="0" w:uiPriority="4294967295" w:semiHidden="0" w:name="footnote text"/>
    <w:lsdException w:unhideWhenUsed="0" w:uiPriority="4294967295" w:semiHidden="0" w:name="annotation text"/>
    <w:lsdException w:qFormat="1" w:unhideWhenUsed="0" w:uiPriority="4294967295" w:semiHidden="0" w:name="header"/>
    <w:lsdException w:unhideWhenUsed="0" w:uiPriority="4294967295" w:semiHidden="0" w:name="footer"/>
    <w:lsdException w:unhideWhenUsed="0" w:uiPriority="4294967295" w:semiHidden="0" w:name="index heading"/>
    <w:lsdException w:unhideWhenUsed="0" w:uiPriority="4294967295" w:semiHidden="0" w:name="caption"/>
    <w:lsdException w:unhideWhenUsed="0" w:uiPriority="4294967295" w:semiHidden="0" w:name="table of figures"/>
    <w:lsdException w:unhideWhenUsed="0" w:uiPriority="4294967295" w:semiHidden="0" w:name="envelope address"/>
    <w:lsdException w:unhideWhenUsed="0" w:uiPriority="4294967295" w:semiHidden="0" w:name="envelope return"/>
    <w:lsdException w:unhideWhenUsed="0" w:uiPriority="4294967295" w:semiHidden="0" w:name="footnote reference"/>
    <w:lsdException w:unhideWhenUsed="0" w:uiPriority="4294967295" w:semiHidden="0" w:name="annotation reference"/>
    <w:lsdException w:unhideWhenUsed="0" w:uiPriority="4294967295" w:semiHidden="0" w:name="line number"/>
    <w:lsdException w:unhideWhenUsed="0" w:uiPriority="4294967295" w:semiHidden="0" w:name="page number"/>
    <w:lsdException w:unhideWhenUsed="0" w:uiPriority="4294967295" w:semiHidden="0" w:name="endnote reference"/>
    <w:lsdException w:unhideWhenUsed="0" w:uiPriority="4294967295" w:semiHidden="0" w:name="endnote text"/>
    <w:lsdException w:unhideWhenUsed="0" w:uiPriority="4294967295" w:semiHidden="0" w:name="table of authorities"/>
    <w:lsdException w:unhideWhenUsed="0" w:uiPriority="4294967295" w:semiHidden="0" w:name="macro"/>
    <w:lsdException w:unhideWhenUsed="0" w:uiPriority="4294967295" w:semiHidden="0" w:name="toa heading"/>
    <w:lsdException w:unhideWhenUsed="0" w:uiPriority="4294967295" w:semiHidden="0" w:name="List"/>
    <w:lsdException w:unhideWhenUsed="0" w:uiPriority="4294967295" w:semiHidden="0" w:name="List Bullet"/>
    <w:lsdException w:unhideWhenUsed="0" w:uiPriority="4294967295" w:semiHidden="0" w:name="List Number"/>
    <w:lsdException w:unhideWhenUsed="0" w:uiPriority="4294967295" w:semiHidden="0" w:name="List 2"/>
    <w:lsdException w:unhideWhenUsed="0" w:uiPriority="4294967295" w:semiHidden="0" w:name="List 3"/>
    <w:lsdException w:unhideWhenUsed="0" w:uiPriority="4294967295" w:semiHidden="0" w:name="List 4"/>
    <w:lsdException w:unhideWhenUsed="0" w:uiPriority="4294967295" w:semiHidden="0" w:name="List 5"/>
    <w:lsdException w:unhideWhenUsed="0" w:uiPriority="4294967295" w:semiHidden="0" w:name="List Bullet 2"/>
    <w:lsdException w:unhideWhenUsed="0" w:uiPriority="4294967295" w:semiHidden="0" w:name="List Bullet 3"/>
    <w:lsdException w:unhideWhenUsed="0" w:uiPriority="4294967295" w:semiHidden="0" w:name="List Bullet 4"/>
    <w:lsdException w:unhideWhenUsed="0" w:uiPriority="4294967295" w:semiHidden="0" w:name="List Bullet 5"/>
    <w:lsdException w:unhideWhenUsed="0" w:uiPriority="4294967295" w:semiHidden="0" w:name="List Number 2"/>
    <w:lsdException w:unhideWhenUsed="0" w:uiPriority="4294967295" w:semiHidden="0" w:name="List Number 3"/>
    <w:lsdException w:unhideWhenUsed="0" w:uiPriority="4294967295" w:semiHidden="0" w:name="List Number 4"/>
    <w:lsdException w:unhideWhenUsed="0" w:uiPriority="4294967295" w:semiHidden="0" w:name="List Number 5"/>
    <w:lsdException w:unhideWhenUsed="0" w:uiPriority="4294967295" w:semiHidden="0" w:name="Title"/>
    <w:lsdException w:unhideWhenUsed="0" w:uiPriority="4294967295" w:semiHidden="0" w:name="Closing"/>
    <w:lsdException w:unhideWhenUsed="0" w:uiPriority="4294967295" w:semiHidden="0" w:name="Signature"/>
    <w:lsdException w:unhideWhenUsed="0" w:uiPriority="0" w:name="Default Paragraph Font"/>
    <w:lsdException w:unhideWhenUsed="0" w:uiPriority="4294967295" w:semiHidden="0" w:name="Body Text"/>
    <w:lsdException w:unhideWhenUsed="0" w:uiPriority="4294967295" w:semiHidden="0" w:name="Body Text Indent"/>
    <w:lsdException w:unhideWhenUsed="0" w:uiPriority="4294967295" w:semiHidden="0" w:name="List Continue"/>
    <w:lsdException w:unhideWhenUsed="0" w:uiPriority="4294967295" w:semiHidden="0" w:name="List Continue 2"/>
    <w:lsdException w:unhideWhenUsed="0" w:uiPriority="4294967295" w:semiHidden="0" w:name="List Continue 3"/>
    <w:lsdException w:unhideWhenUsed="0" w:uiPriority="4294967295" w:semiHidden="0" w:name="List Continue 4"/>
    <w:lsdException w:unhideWhenUsed="0" w:uiPriority="4294967295" w:semiHidden="0" w:name="List Continue 5"/>
    <w:lsdException w:unhideWhenUsed="0" w:uiPriority="4294967295" w:semiHidden="0" w:name="Message Header"/>
    <w:lsdException w:unhideWhenUsed="0" w:uiPriority="4294967295" w:semiHidden="0" w:name="Subtitle"/>
    <w:lsdException w:unhideWhenUsed="0" w:uiPriority="4294967295" w:semiHidden="0" w:name="Salutation"/>
    <w:lsdException w:unhideWhenUsed="0" w:uiPriority="4294967295" w:semiHidden="0" w:name="Date"/>
    <w:lsdException w:unhideWhenUsed="0" w:uiPriority="4294967295" w:semiHidden="0" w:name="Body Text First Indent"/>
    <w:lsdException w:unhideWhenUsed="0" w:uiPriority="4294967295" w:semiHidden="0" w:name="Body Text First Indent 2"/>
    <w:lsdException w:unhideWhenUsed="0" w:uiPriority="4294967295" w:semiHidden="0" w:name="Note Heading"/>
    <w:lsdException w:unhideWhenUsed="0" w:uiPriority="4294967295" w:semiHidden="0" w:name="Body Text 2"/>
    <w:lsdException w:unhideWhenUsed="0" w:uiPriority="4294967295" w:semiHidden="0" w:name="Body Text 3"/>
    <w:lsdException w:unhideWhenUsed="0" w:uiPriority="4294967295" w:semiHidden="0" w:name="Body Text Indent 2"/>
    <w:lsdException w:unhideWhenUsed="0" w:uiPriority="4294967295" w:semiHidden="0" w:name="Body Text Indent 3"/>
    <w:lsdException w:unhideWhenUsed="0" w:uiPriority="4294967295" w:semiHidden="0" w:name="Block Text"/>
    <w:lsdException w:unhideWhenUsed="0" w:uiPriority="4294967295" w:semiHidden="0" w:name="Hyperlink"/>
    <w:lsdException w:unhideWhenUsed="0" w:uiPriority="4294967295" w:semiHidden="0" w:name="FollowedHyperlink"/>
    <w:lsdException w:unhideWhenUsed="0" w:uiPriority="4294967295" w:semiHidden="0" w:name="Strong"/>
    <w:lsdException w:unhideWhenUsed="0" w:uiPriority="4294967295" w:semiHidden="0" w:name="Emphasis"/>
    <w:lsdException w:unhideWhenUsed="0" w:uiPriority="4294967295" w:semiHidden="0" w:name="Document Map"/>
    <w:lsdException w:unhideWhenUsed="0" w:uiPriority="4294967295" w:semiHidden="0" w:name="Plain Text"/>
    <w:lsdException w:unhideWhenUsed="0" w:uiPriority="4294967295" w:semiHidden="0" w:name="E-mail Signature"/>
    <w:lsdException w:unhideWhenUsed="0" w:uiPriority="4294967295" w:semiHidden="0" w:name="Normal (Web)"/>
    <w:lsdException w:unhideWhenUsed="0" w:uiPriority="4294967295" w:semiHidden="0" w:name="HTML Acronym"/>
    <w:lsdException w:unhideWhenUsed="0" w:uiPriority="4294967295" w:semiHidden="0" w:name="HTML Address"/>
    <w:lsdException w:unhideWhenUsed="0" w:uiPriority="4294967295" w:semiHidden="0" w:name="HTML Cite"/>
    <w:lsdException w:unhideWhenUsed="0" w:uiPriority="4294967295" w:semiHidden="0" w:name="HTML Code"/>
    <w:lsdException w:unhideWhenUsed="0" w:uiPriority="4294967295" w:semiHidden="0" w:name="HTML Definition"/>
    <w:lsdException w:unhideWhenUsed="0" w:uiPriority="4294967295" w:semiHidden="0" w:name="HTML Keyboard"/>
    <w:lsdException w:unhideWhenUsed="0" w:uiPriority="4294967295" w:semiHidden="0" w:name="HTML Preformatted"/>
    <w:lsdException w:unhideWhenUsed="0" w:uiPriority="4294967295" w:semiHidden="0" w:name="HTML Sample"/>
    <w:lsdException w:unhideWhenUsed="0" w:uiPriority="4294967295" w:semiHidden="0" w:name="HTML Typewriter"/>
    <w:lsdException w:unhideWhenUsed="0" w:uiPriority="4294967295" w:semiHidden="0" w:name="HTML Variable"/>
    <w:lsdException w:qFormat="1" w:unhideWhenUsed="0" w:uiPriority="4294967295" w:semiHidden="0" w:name="Normal Table"/>
    <w:lsdException w:unhideWhenUsed="0" w:uiPriority="4294967295" w:semiHidden="0" w:name="annotation subject"/>
    <w:lsdException w:unhideWhenUsed="0" w:uiPriority="0" w:name="No List"/>
    <w:lsdException w:unhideWhenUsed="0" w:uiPriority="4294967295" w:semiHidden="0" w:name="Table Simple 1"/>
    <w:lsdException w:unhideWhenUsed="0" w:uiPriority="4294967295" w:semiHidden="0" w:name="Table Simple 2"/>
    <w:lsdException w:unhideWhenUsed="0" w:uiPriority="4294967295" w:semiHidden="0" w:name="Table Simple 3"/>
    <w:lsdException w:unhideWhenUsed="0" w:uiPriority="4294967295" w:semiHidden="0" w:name="Table Classic 1"/>
    <w:lsdException w:unhideWhenUsed="0" w:uiPriority="4294967295" w:semiHidden="0" w:name="Table Classic 2"/>
    <w:lsdException w:unhideWhenUsed="0" w:uiPriority="4294967295" w:semiHidden="0" w:name="Table Classic 3"/>
    <w:lsdException w:unhideWhenUsed="0" w:uiPriority="4294967295" w:semiHidden="0" w:name="Table Classic 4"/>
    <w:lsdException w:unhideWhenUsed="0" w:uiPriority="4294967295" w:semiHidden="0" w:name="Table Colorful 1"/>
    <w:lsdException w:unhideWhenUsed="0" w:uiPriority="4294967295" w:semiHidden="0" w:name="Table Colorful 2"/>
    <w:lsdException w:unhideWhenUsed="0" w:uiPriority="4294967295" w:semiHidden="0" w:name="Table Colorful 3"/>
    <w:lsdException w:unhideWhenUsed="0" w:uiPriority="4294967295" w:semiHidden="0" w:name="Table Columns 1"/>
    <w:lsdException w:unhideWhenUsed="0" w:uiPriority="4294967295" w:semiHidden="0" w:name="Table Columns 2"/>
    <w:lsdException w:unhideWhenUsed="0" w:uiPriority="4294967295" w:semiHidden="0" w:name="Table Columns 3"/>
    <w:lsdException w:unhideWhenUsed="0" w:uiPriority="4294967295" w:semiHidden="0" w:name="Table Columns 4"/>
    <w:lsdException w:unhideWhenUsed="0" w:uiPriority="4294967295" w:semiHidden="0" w:name="Table Columns 5"/>
    <w:lsdException w:unhideWhenUsed="0" w:uiPriority="4294967295" w:semiHidden="0" w:name="Table Grid 1"/>
    <w:lsdException w:unhideWhenUsed="0" w:uiPriority="4294967295" w:semiHidden="0" w:name="Table Grid 2"/>
    <w:lsdException w:unhideWhenUsed="0" w:uiPriority="4294967295" w:semiHidden="0" w:name="Table Grid 3"/>
    <w:lsdException w:unhideWhenUsed="0" w:uiPriority="4294967295" w:semiHidden="0" w:name="Table Grid 4"/>
    <w:lsdException w:unhideWhenUsed="0" w:uiPriority="4294967295" w:semiHidden="0" w:name="Table Grid 5"/>
    <w:lsdException w:unhideWhenUsed="0" w:uiPriority="4294967295" w:semiHidden="0" w:name="Table Grid 6"/>
    <w:lsdException w:unhideWhenUsed="0" w:uiPriority="4294967295" w:semiHidden="0" w:name="Table Grid 7"/>
    <w:lsdException w:unhideWhenUsed="0" w:uiPriority="4294967295" w:semiHidden="0" w:name="Table Grid 8"/>
    <w:lsdException w:unhideWhenUsed="0" w:uiPriority="4294967295" w:semiHidden="0" w:name="Table List 1"/>
    <w:lsdException w:unhideWhenUsed="0" w:uiPriority="4294967295" w:semiHidden="0" w:name="Table List 2"/>
    <w:lsdException w:unhideWhenUsed="0" w:uiPriority="4294967295" w:semiHidden="0" w:name="Table List 3"/>
    <w:lsdException w:unhideWhenUsed="0" w:uiPriority="4294967295" w:semiHidden="0" w:name="Table List 4"/>
    <w:lsdException w:unhideWhenUsed="0" w:uiPriority="4294967295" w:semiHidden="0" w:name="Table List 5"/>
    <w:lsdException w:unhideWhenUsed="0" w:uiPriority="4294967295" w:semiHidden="0" w:name="Table List 6"/>
    <w:lsdException w:unhideWhenUsed="0" w:uiPriority="4294967295" w:semiHidden="0" w:name="Table List 7"/>
    <w:lsdException w:unhideWhenUsed="0" w:uiPriority="4294967295" w:semiHidden="0" w:name="Table List 8"/>
    <w:lsdException w:unhideWhenUsed="0" w:uiPriority="4294967295" w:semiHidden="0" w:name="Table 3D effects 1"/>
    <w:lsdException w:unhideWhenUsed="0" w:uiPriority="4294967295" w:semiHidden="0" w:name="Table 3D effects 2"/>
    <w:lsdException w:unhideWhenUsed="0" w:uiPriority="4294967295" w:semiHidden="0" w:name="Table 3D effects 3"/>
    <w:lsdException w:unhideWhenUsed="0" w:uiPriority="4294967295" w:semiHidden="0" w:name="Table Contemporary"/>
    <w:lsdException w:unhideWhenUsed="0" w:uiPriority="4294967295" w:semiHidden="0" w:name="Table Elegant"/>
    <w:lsdException w:unhideWhenUsed="0" w:uiPriority="4294967295" w:semiHidden="0" w:name="Table Professional"/>
    <w:lsdException w:unhideWhenUsed="0" w:uiPriority="4294967295" w:semiHidden="0" w:name="Table Subtle 1"/>
    <w:lsdException w:unhideWhenUsed="0" w:uiPriority="4294967295" w:semiHidden="0" w:name="Table Subtle 2"/>
    <w:lsdException w:unhideWhenUsed="0" w:uiPriority="4294967295" w:semiHidden="0" w:name="Table Web 1"/>
    <w:lsdException w:unhideWhenUsed="0" w:uiPriority="4294967295" w:semiHidden="0" w:name="Table Web 2"/>
    <w:lsdException w:unhideWhenUsed="0" w:uiPriority="4294967295" w:semiHidden="0" w:name="Table Web 3"/>
    <w:lsdException w:unhideWhenUsed="0" w:uiPriority="4294967295" w:semiHidden="0" w:name="Balloon Text"/>
    <w:lsdException w:unhideWhenUsed="0" w:uiPriority="4294967295" w:semiHidden="0" w:name="Table Grid"/>
    <w:lsdException w:unhideWhenUsed="0" w:uiPriority="4294967295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5"/>
    <w:uiPriority w:val="0"/>
    <w:pPr>
      <w:spacing w:before="120" w:after="240"/>
      <w:jc w:val="both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5">
    <w:name w:val="Default Paragraph Font"/>
    <w:link w:val="1"/>
    <w:semiHidden/>
    <w:uiPriority w:val="0"/>
  </w:style>
  <w:style w:type="table" w:default="1" w:styleId="4">
    <w:name w:val="Normal Table"/>
    <w:qFormat/>
    <w:uiPriority w:val="4294967295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default="1" w:styleId="6">
    <w:name w:val="No List"/>
    <w:semiHidden/>
    <w:uiPriority w:val="0"/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footer"/>
    <w:basedOn w:val="1"/>
    <w:uiPriority w:val="4294967295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4294967295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3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5" Type="http://schemas.openxmlformats.org/officeDocument/2006/relationships/fontTable" Target="fontTable.xml"/><Relationship Id="rId34" Type="http://schemas.openxmlformats.org/officeDocument/2006/relationships/customXml" Target="../customXml/item1.xml"/><Relationship Id="rId33" Type="http://schemas.openxmlformats.org/officeDocument/2006/relationships/image" Target="media/image23.jpeg"/><Relationship Id="rId32" Type="http://schemas.openxmlformats.org/officeDocument/2006/relationships/image" Target="media/image22.jpeg"/><Relationship Id="rId31" Type="http://schemas.openxmlformats.org/officeDocument/2006/relationships/image" Target="media/image21.jpeg"/><Relationship Id="rId30" Type="http://schemas.openxmlformats.org/officeDocument/2006/relationships/image" Target="media/image20.jpeg"/><Relationship Id="rId3" Type="http://schemas.openxmlformats.org/officeDocument/2006/relationships/footnotes" Target="footnotes.xml"/><Relationship Id="rId29" Type="http://schemas.openxmlformats.org/officeDocument/2006/relationships/image" Target="media/image19.jpeg"/><Relationship Id="rId28" Type="http://schemas.openxmlformats.org/officeDocument/2006/relationships/image" Target="media/image18.jpeg"/><Relationship Id="rId27" Type="http://schemas.openxmlformats.org/officeDocument/2006/relationships/image" Target="media/image17.jpeg"/><Relationship Id="rId26" Type="http://schemas.openxmlformats.org/officeDocument/2006/relationships/image" Target="media/image16.jpeg"/><Relationship Id="rId25" Type="http://schemas.openxmlformats.org/officeDocument/2006/relationships/image" Target="media/image15.jpeg"/><Relationship Id="rId24" Type="http://schemas.openxmlformats.org/officeDocument/2006/relationships/image" Target="media/image14.jpeg"/><Relationship Id="rId23" Type="http://schemas.openxmlformats.org/officeDocument/2006/relationships/image" Target="media/image13.jpeg"/><Relationship Id="rId22" Type="http://schemas.openxmlformats.org/officeDocument/2006/relationships/image" Target="media/image12.jpeg"/><Relationship Id="rId21" Type="http://schemas.openxmlformats.org/officeDocument/2006/relationships/image" Target="media/image11.jpeg"/><Relationship Id="rId20" Type="http://schemas.openxmlformats.org/officeDocument/2006/relationships/image" Target="media/image10.jpeg"/><Relationship Id="rId2" Type="http://schemas.openxmlformats.org/officeDocument/2006/relationships/settings" Target="settings.xml"/><Relationship Id="rId19" Type="http://schemas.openxmlformats.org/officeDocument/2006/relationships/image" Target="media/image9.jpeg"/><Relationship Id="rId18" Type="http://schemas.openxmlformats.org/officeDocument/2006/relationships/image" Target="media/image8.jpeg"/><Relationship Id="rId17" Type="http://schemas.openxmlformats.org/officeDocument/2006/relationships/image" Target="media/image7.jpeg"/><Relationship Id="rId16" Type="http://schemas.openxmlformats.org/officeDocument/2006/relationships/image" Target="media/image6.jpeg"/><Relationship Id="rId15" Type="http://schemas.openxmlformats.org/officeDocument/2006/relationships/image" Target="media/image5.jpeg"/><Relationship Id="rId14" Type="http://schemas.openxmlformats.org/officeDocument/2006/relationships/image" Target="media/image4.jpeg"/><Relationship Id="rId13" Type="http://schemas.openxmlformats.org/officeDocument/2006/relationships/image" Target="media/image3.jpeg"/><Relationship Id="rId12" Type="http://schemas.openxmlformats.org/officeDocument/2006/relationships/image" Target="media/image2.jpeg"/><Relationship Id="rId11" Type="http://schemas.openxmlformats.org/officeDocument/2006/relationships/image" Target="media/image1.jpeg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</customSectProps>
  <customShpExts>
    <customShpInfo spid="_x0000_s1026"/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38"/>
    <customShpInfo spid="_x0000_s1039"/>
    <customShpInfo spid="_x0000_s1040"/>
    <customShpInfo spid="_x0000_s1041"/>
    <customShpInfo spid="_x0000_s1042"/>
    <customShpInfo spid="_x0000_s1043"/>
    <customShpInfo spid="_x0000_s1044"/>
    <customShpInfo spid="_x0000_s1045"/>
    <customShpInfo spid="_x0000_s1046"/>
    <customShpInfo spid="_x0000_s1047"/>
    <customShpInfo spid="_x0000_s1048"/>
    <customShpInfo spid="_x0000_s1049"/>
    <customShpInfo spid="_x0000_s1050"/>
    <customShpInfo spid="_x0000_s1051"/>
    <customShpInfo spid="_x0000_s1052"/>
    <customShpInfo spid="_x0000_s1053"/>
    <customShpInfo spid="_x0000_s1054"/>
    <customShpInfo spid="_x0000_s1055"/>
    <customShpInfo spid="_x0000_s1056"/>
    <customShpInfo spid="_x0000_s1057"/>
    <customShpInfo spid="_x0000_s1058"/>
    <customShpInfo spid="_x0000_s1059"/>
    <customShpInfo spid="_x0000_s1060"/>
    <customShpInfo spid="_x0000_s1061"/>
    <customShpInfo spid="_x0000_s1062"/>
    <customShpInfo spid="_x0000_s1063"/>
    <customShpInfo spid="_x0000_s1064"/>
    <customShpInfo spid="_x0000_s1065"/>
    <customShpInfo spid="_x0000_s1066"/>
    <customShpInfo spid="_x0000_s1067"/>
    <customShpInfo spid="_x0000_s106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Aspose</Company>
  <Pages>20</Pages>
  <Words>4791</Words>
  <Characters>6140</Characters>
  <Lines>0</Lines>
  <Paragraphs>178</Paragraphs>
  <TotalTime>3</TotalTime>
  <ScaleCrop>false</ScaleCrop>
  <LinksUpToDate>false</LinksUpToDate>
  <CharactersWithSpaces>6475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2026-06-22T11:25:00Z</dcterms:created>
  <dc:creator>Administrator</dc:creator>
  <cp:lastModifiedBy>上帝掷骰子吗</cp:lastModifiedBy>
  <dcterms:modified xsi:type="dcterms:W3CDTF">2026-09-18T16:49:50Z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eyJoZGlkIjoiMjljNjk0N2RhMTc0NzI3ZTQwZWEyZWMyMzA2NzliMDQiLCJ1c2VySWQiOiI3ODUwOTA2ODcifQ==</vt:lpwstr>
  </property>
  <property fmtid="{D5CDD505-2E9C-101B-9397-08002B2CF9AE}" pid="3" name="KSOProductBuildVer">
    <vt:lpwstr>2052-12.1.0.28505</vt:lpwstr>
  </property>
  <property fmtid="{D5CDD505-2E9C-101B-9397-08002B2CF9AE}" pid="4" name="ICV">
    <vt:lpwstr>D887CC0BA2364AE6B2A2B5EC8B10DEF1_12</vt:lpwstr>
  </property>
</Properties>
</file>