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3E454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10998200</wp:posOffset>
            </wp:positionV>
            <wp:extent cx="254000" cy="457200"/>
            <wp:effectExtent l="0" t="0" r="12700" b="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12636500</wp:posOffset>
            </wp:positionV>
            <wp:extent cx="444500" cy="444500"/>
            <wp:effectExtent l="0" t="0" r="12700" b="12700"/>
            <wp:wrapNone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年江西省普通高中学业水平选择性考试</w:t>
      </w:r>
    </w:p>
    <w:p w14:paraId="088373A3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0C11A7AF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EAD930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分。在每小题给出的四个选项中，只有一项符合题目要求，答对得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分，答错得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36B52907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海洋是生命的摇篮。深海热泉周围存在一类具有细胞结构、能够独立生存的特殊微生物，它们既不属于真核生物，也不属于典型的原核生物。下列关于该类生物的推测，合理的是（　　）</w:t>
      </w:r>
    </w:p>
    <w:p w14:paraId="49BCC48C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依赖叶绿体进行光合作用</w:t>
      </w:r>
    </w:p>
    <w:p w14:paraId="7E8FB925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无机盐离子通过自由扩散进出细胞</w:t>
      </w:r>
    </w:p>
    <w:p w14:paraId="7BFE9D2A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胞内酶的最适温度比常见生物体的高</w:t>
      </w:r>
    </w:p>
    <w:p w14:paraId="0DD07321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具有细胞壁、细胞膜、细胞质和细胞核等结构</w:t>
      </w:r>
    </w:p>
    <w:p w14:paraId="481D0B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蛋白酶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被广泛用作洗涤剂的生产原料，但洗涤剂中的物质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能将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的第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位甲硫氨酸氧化，降低其活性。研究人员将上述甲硫氨酸替换为丝氨酸，提高了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的耐受性。下列叙述错误的是（　　）</w:t>
      </w:r>
    </w:p>
    <w:p w14:paraId="05FBA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位甲硫氨酸的氧化会影响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的空间结构，从而影响酶的活性</w:t>
      </w:r>
    </w:p>
    <w:p w14:paraId="3B270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将第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位的甲硫氨酸替换为丝氨酸可通过基因工程实现</w:t>
      </w:r>
    </w:p>
    <w:p w14:paraId="6DD6B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判断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的改造效果，需用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处理一段时间后测定酶活性</w:t>
      </w:r>
    </w:p>
    <w:p w14:paraId="672C3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甲硫氨酸的替换在提高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耐受性的同时，降低了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的专一性</w:t>
      </w:r>
    </w:p>
    <w:p w14:paraId="3FF202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某病毒</w:t>
      </w:r>
      <w:r>
        <w:rPr>
          <w:rFonts w:ascii="Times New Roman" w:hAnsi="Times New Roman" w:eastAsia="Times New Roman" w:cs="Times New Roman"/>
          <w:color w:val="000000"/>
        </w:rPr>
        <w:t>RNA(</w:t>
      </w:r>
      <w:r>
        <w:rPr>
          <w:rFonts w:ascii="宋体" w:hAnsi="宋体" w:eastAsia="宋体" w:cs="宋体"/>
          <w:color w:val="000000"/>
        </w:rPr>
        <w:t>可作为翻译模板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在翻译延伸阶段出现“程序性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核糖体移码”现象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以下简称“移码”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。因</w:t>
      </w:r>
      <w:r>
        <w:rPr>
          <w:rFonts w:ascii="Times New Roman" w:hAnsi="Times New Roman" w:eastAsia="Times New Roman" w:cs="Times New Roman"/>
          <w:color w:val="000000"/>
        </w:rPr>
        <w:t>RNA</w:t>
      </w:r>
      <w:r>
        <w:rPr>
          <w:rFonts w:ascii="宋体" w:hAnsi="宋体" w:eastAsia="宋体" w:cs="宋体"/>
          <w:color w:val="000000"/>
        </w:rPr>
        <w:t>自身形成的特殊结构，核糖体会以一定的频率在特定位点向</w:t>
      </w:r>
      <w:r>
        <w:rPr>
          <w:rFonts w:ascii="Times New Roman" w:hAnsi="Times New Roman" w:eastAsia="Times New Roman" w:cs="Times New Roman"/>
          <w:color w:val="000000"/>
        </w:rPr>
        <w:t>RNA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5’</w:t>
      </w:r>
      <w:r>
        <w:rPr>
          <w:rFonts w:ascii="宋体" w:hAnsi="宋体" w:eastAsia="宋体" w:cs="宋体"/>
          <w:color w:val="000000"/>
        </w:rPr>
        <w:t>端移动一个碱基。下列推测合理的是（　　）</w:t>
      </w:r>
    </w:p>
    <w:p w14:paraId="2BACE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“移码”中核糖体移动的原因是基因发生了突变</w:t>
      </w:r>
    </w:p>
    <w:p w14:paraId="63C08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“移码”的发生使</w:t>
      </w:r>
      <w:r>
        <w:rPr>
          <w:rFonts w:ascii="Times New Roman" w:hAnsi="Times New Roman" w:eastAsia="Times New Roman" w:cs="Times New Roman"/>
          <w:color w:val="000000"/>
        </w:rPr>
        <w:t>RNA</w:t>
      </w:r>
      <w:r>
        <w:rPr>
          <w:rFonts w:ascii="宋体" w:hAnsi="宋体" w:eastAsia="宋体" w:cs="宋体"/>
          <w:color w:val="000000"/>
        </w:rPr>
        <w:t>的长度增加了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个核苷酸</w:t>
      </w:r>
    </w:p>
    <w:p w14:paraId="5FA86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“移码”产生的多肽链比未“移码”编码的更长</w:t>
      </w:r>
    </w:p>
    <w:p w14:paraId="2D69E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有无“移码”产生的两种多肽链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端氨基酸残基相同</w:t>
      </w:r>
    </w:p>
    <w:p w14:paraId="56CF63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相传明代诗人通过“天生一只又一只，三四五六七八只”巧数《百鸟归巢图》中的百鸟，现今科学家们在某自然保护区通过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辅助的声纹监测法进行鸟种识别及其种群数量监测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鸟的声纹在个体和鸟种之间均存在差异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。结合上述材料，下列叙述错误的是（　　）</w:t>
      </w:r>
    </w:p>
    <w:p w14:paraId="0F929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诗中体现的数量调查法可准确计算某些种群的密度</w:t>
      </w:r>
    </w:p>
    <w:p w14:paraId="670B2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科学家们采用的方法能高效估测某些种群的密度</w:t>
      </w:r>
    </w:p>
    <w:p w14:paraId="7F6BE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调查期内该保护区不同声纹的鸟不能组成一个群落</w:t>
      </w:r>
    </w:p>
    <w:p w14:paraId="1CE0D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不同声纹的鸟越多说明该保护区鸟的丰富度越高</w:t>
      </w:r>
    </w:p>
    <w:p w14:paraId="3EF39A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为探究从冰冻多年的组织细胞中“复活”基因组的可能性，研究人员将</w:t>
      </w:r>
      <w:r>
        <w:rPr>
          <w:rFonts w:ascii="Times New Roman" w:hAnsi="Times New Roman" w:eastAsia="Times New Roman" w:cs="Times New Roman"/>
          <w:color w:val="000000"/>
        </w:rPr>
        <w:t>-20℃</w:t>
      </w:r>
      <w:r>
        <w:rPr>
          <w:rFonts w:ascii="宋体" w:hAnsi="宋体" w:eastAsia="宋体" w:cs="宋体"/>
          <w:color w:val="000000"/>
        </w:rPr>
        <w:t>冷冻后的实验小鼠解冻，检测发现细胞均死亡，细胞膜受损；提取不同组织细胞的细胞核，分别注入去核卵母细胞进行克隆，结果如表。下列叙述合理的是（　　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19"/>
        <w:gridCol w:w="2198"/>
        <w:gridCol w:w="2348"/>
        <w:gridCol w:w="2560"/>
      </w:tblGrid>
      <w:tr w14:paraId="26893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85" w:hRule="atLeast"/>
        </w:trPr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AEA1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细胞核来源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1E91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激活的重构胚数量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A64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发育至桑葚胚的比例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(%)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B52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成功构建核移植胚胎干细胞系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(ntES)</w:t>
            </w:r>
            <w:r>
              <w:rPr>
                <w:rFonts w:ascii="宋体" w:hAnsi="宋体" w:eastAsia="宋体" w:cs="宋体"/>
                <w:color w:val="000000"/>
              </w:rPr>
              <w:t>的比例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(%)</w:t>
            </w:r>
          </w:p>
        </w:tc>
      </w:tr>
      <w:tr w14:paraId="0F6A0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8C2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脑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4EDD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109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70081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39.4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EE0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10.1</w:t>
            </w:r>
          </w:p>
        </w:tc>
      </w:tr>
      <w:tr w14:paraId="1FB39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6B354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胰腺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1365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002B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15.3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413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</w:tr>
      <w:tr w14:paraId="130DD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B249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心脏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242A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82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F86C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6.1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A4EE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 w14:paraId="0999C8DA">
      <w:pPr>
        <w:spacing w:line="360" w:lineRule="auto"/>
        <w:jc w:val="both"/>
        <w:textAlignment w:val="center"/>
        <w:rPr>
          <w:color w:val="000000"/>
        </w:rPr>
      </w:pPr>
    </w:p>
    <w:p w14:paraId="3B0AE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利用差速离心法可从解冻组织匀浆液中获得细胞核</w:t>
      </w:r>
    </w:p>
    <w:p w14:paraId="7F30B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细胞核注入去核卵母细胞后还需采用电融合法将两者融合</w:t>
      </w:r>
    </w:p>
    <w:p w14:paraId="03FD2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利用心脏来源的细胞核未能成功构建</w:t>
      </w:r>
      <w:r>
        <w:rPr>
          <w:rFonts w:ascii="Times New Roman" w:hAnsi="Times New Roman" w:eastAsia="Times New Roman" w:cs="Times New Roman"/>
          <w:color w:val="000000"/>
        </w:rPr>
        <w:t>ntES</w:t>
      </w:r>
      <w:r>
        <w:rPr>
          <w:rFonts w:ascii="宋体" w:hAnsi="宋体" w:eastAsia="宋体" w:cs="宋体"/>
          <w:color w:val="000000"/>
        </w:rPr>
        <w:t>，说明其没有全能性</w:t>
      </w:r>
    </w:p>
    <w:p w14:paraId="249C2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利用胰腺细胞的核成功构建</w:t>
      </w:r>
      <w:r>
        <w:rPr>
          <w:rFonts w:ascii="Times New Roman" w:hAnsi="Times New Roman" w:eastAsia="Times New Roman" w:cs="Times New Roman"/>
          <w:color w:val="000000"/>
        </w:rPr>
        <w:t>ntES</w:t>
      </w:r>
      <w:r>
        <w:rPr>
          <w:rFonts w:ascii="宋体" w:hAnsi="宋体" w:eastAsia="宋体" w:cs="宋体"/>
          <w:color w:val="000000"/>
        </w:rPr>
        <w:t>的比例比脑低，说明此分化程度更高</w:t>
      </w:r>
    </w:p>
    <w:p w14:paraId="58A447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神奇”动物海蛞蝓能选择性保留所摄食藻类中的叶绿体，并用一层膜包裹形成宿主衍生细胞器“盗食体”。“盗食体”内的叶绿体可合成部分光合蛋白，在一段时间内保持光合能力；“盗食体”可利用转运蛋白维持内部环境相对稳定。下列关于“盗食体”内叶绿体的推测，合理的是（　　）</w:t>
      </w:r>
    </w:p>
    <w:p w14:paraId="496F4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编码光合色素蛋白的基因来自海蛞蝓细胞核</w:t>
      </w:r>
    </w:p>
    <w:p w14:paraId="10E28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需要海蛞蝓细胞为其提供原料进行光合作用</w:t>
      </w:r>
    </w:p>
    <w:p w14:paraId="6FEF7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叶绿体外膜与海蛞蝓细胞膜的蛋白结构相同</w:t>
      </w:r>
    </w:p>
    <w:p w14:paraId="09A0E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能够通过分裂实现增殖以维持光合作用能力</w:t>
      </w:r>
    </w:p>
    <w:p w14:paraId="1B75EB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B-1a</w:t>
      </w:r>
      <w:r>
        <w:rPr>
          <w:rFonts w:ascii="宋体" w:hAnsi="宋体" w:eastAsia="宋体" w:cs="宋体"/>
          <w:color w:val="000000"/>
        </w:rPr>
        <w:t>是具有自我更新能力的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淋巴细胞亚群，无需特定抗原刺激即可持续分泌天然抗体</w:t>
      </w:r>
      <w:r>
        <w:rPr>
          <w:rFonts w:ascii="Times New Roman" w:hAnsi="Times New Roman" w:eastAsia="Times New Roman" w:cs="Times New Roman"/>
          <w:color w:val="000000"/>
        </w:rPr>
        <w:t>IgM</w:t>
      </w:r>
      <w:r>
        <w:rPr>
          <w:rFonts w:ascii="宋体" w:hAnsi="宋体" w:eastAsia="宋体" w:cs="宋体"/>
          <w:color w:val="000000"/>
        </w:rPr>
        <w:t>，偶尔也受特定抗原刺激产生抗体</w:t>
      </w:r>
      <w:r>
        <w:rPr>
          <w:rFonts w:ascii="Times New Roman" w:hAnsi="Times New Roman" w:eastAsia="Times New Roman" w:cs="Times New Roman"/>
          <w:color w:val="000000"/>
        </w:rPr>
        <w:t>IgG</w:t>
      </w:r>
      <w:r>
        <w:rPr>
          <w:rFonts w:ascii="宋体" w:hAnsi="宋体" w:eastAsia="宋体" w:cs="宋体"/>
          <w:color w:val="000000"/>
        </w:rPr>
        <w:t>，是维持机体内环境稳态的重要免疫屏障。下列叙述正确的是（　　）</w:t>
      </w:r>
    </w:p>
    <w:p w14:paraId="27479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B-1a</w:t>
      </w:r>
      <w:r>
        <w:rPr>
          <w:rFonts w:ascii="宋体" w:hAnsi="宋体" w:eastAsia="宋体" w:cs="宋体"/>
          <w:color w:val="000000"/>
        </w:rPr>
        <w:t>细胞产生天然抗体</w:t>
      </w:r>
      <w:r>
        <w:rPr>
          <w:rFonts w:ascii="Times New Roman" w:hAnsi="Times New Roman" w:eastAsia="Times New Roman" w:cs="Times New Roman"/>
          <w:color w:val="000000"/>
        </w:rPr>
        <w:t>IgM</w:t>
      </w:r>
      <w:r>
        <w:rPr>
          <w:rFonts w:ascii="宋体" w:hAnsi="宋体" w:eastAsia="宋体" w:cs="宋体"/>
          <w:color w:val="000000"/>
        </w:rPr>
        <w:t>的过程属于非特异性免疫</w:t>
      </w:r>
    </w:p>
    <w:p w14:paraId="3CF5C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B-1a</w:t>
      </w:r>
      <w:r>
        <w:rPr>
          <w:rFonts w:ascii="宋体" w:hAnsi="宋体" w:eastAsia="宋体" w:cs="宋体"/>
          <w:color w:val="000000"/>
        </w:rPr>
        <w:t>细胞是一种记忆细胞，在免疫调节中发挥重要作用</w:t>
      </w:r>
    </w:p>
    <w:p w14:paraId="365F5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B-1a</w:t>
      </w:r>
      <w:r>
        <w:rPr>
          <w:rFonts w:ascii="宋体" w:hAnsi="宋体" w:eastAsia="宋体" w:cs="宋体"/>
          <w:color w:val="000000"/>
        </w:rPr>
        <w:t>细胞分化成浆细胞产生</w:t>
      </w:r>
      <w:r>
        <w:rPr>
          <w:rFonts w:ascii="Times New Roman" w:hAnsi="Times New Roman" w:eastAsia="Times New Roman" w:cs="Times New Roman"/>
          <w:color w:val="000000"/>
        </w:rPr>
        <w:t>IgG</w:t>
      </w:r>
      <w:r>
        <w:rPr>
          <w:rFonts w:ascii="宋体" w:hAnsi="宋体" w:eastAsia="宋体" w:cs="宋体"/>
          <w:color w:val="000000"/>
        </w:rPr>
        <w:t>无需辅助性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细胞的参与</w:t>
      </w:r>
    </w:p>
    <w:p w14:paraId="50DE7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一定年龄后机体免疫功能开始衰退是因为</w:t>
      </w:r>
      <w:r>
        <w:rPr>
          <w:rFonts w:ascii="Times New Roman" w:hAnsi="Times New Roman" w:eastAsia="Times New Roman" w:cs="Times New Roman"/>
          <w:color w:val="000000"/>
        </w:rPr>
        <w:t>B-1a</w:t>
      </w:r>
      <w:r>
        <w:rPr>
          <w:rFonts w:ascii="宋体" w:hAnsi="宋体" w:eastAsia="宋体" w:cs="宋体"/>
          <w:color w:val="000000"/>
        </w:rPr>
        <w:t>细胞数量减少</w:t>
      </w:r>
    </w:p>
    <w:p w14:paraId="13BD86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为研究某植物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对大豆植食性害虫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及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的捕食性天敌的影响，研究人员调查了</w:t>
      </w:r>
      <w:r>
        <w:rPr>
          <w:rFonts w:ascii="Times New Roman" w:hAnsi="Times New Roman" w:eastAsia="Times New Roman" w:cs="Times New Roman"/>
          <w:color w:val="000000"/>
        </w:rPr>
        <w:t>T1(</w:t>
      </w:r>
      <w:r>
        <w:rPr>
          <w:rFonts w:ascii="宋体" w:hAnsi="宋体" w:eastAsia="宋体" w:cs="宋体"/>
          <w:color w:val="000000"/>
        </w:rPr>
        <w:t>单种大豆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T2(</w:t>
      </w:r>
      <w:r>
        <w:rPr>
          <w:rFonts w:ascii="宋体" w:hAnsi="宋体" w:eastAsia="宋体" w:cs="宋体"/>
          <w:color w:val="000000"/>
        </w:rPr>
        <w:t>混种大豆和植物</w:t>
      </w:r>
      <w:r>
        <w:rPr>
          <w:rFonts w:ascii="Times New Roman" w:hAnsi="Times New Roman" w:eastAsia="Times New Roman" w:cs="Times New Roman"/>
          <w:color w:val="000000"/>
        </w:rPr>
        <w:t>S)</w:t>
      </w:r>
      <w:r>
        <w:rPr>
          <w:rFonts w:ascii="宋体" w:hAnsi="宋体" w:eastAsia="宋体" w:cs="宋体"/>
          <w:color w:val="000000"/>
        </w:rPr>
        <w:t>模式下，大豆植株上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及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的天敌数量随时间变化情况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。下列推测合理的是（　　）</w:t>
      </w:r>
    </w:p>
    <w:p w14:paraId="17297C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75105"/>
            <wp:effectExtent l="0" t="0" r="0" b="1079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1E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可“吸引”天敌来控制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的数量</w:t>
      </w:r>
    </w:p>
    <w:p w14:paraId="4565C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在该农田生态系统属于次级消费者</w:t>
      </w:r>
    </w:p>
    <w:p w14:paraId="519B1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天，</w:t>
      </w:r>
      <w:r>
        <w:rPr>
          <w:rFonts w:ascii="Times New Roman" w:hAnsi="Times New Roman" w:eastAsia="Times New Roman" w:cs="Times New Roman"/>
          <w:color w:val="000000"/>
        </w:rPr>
        <w:t>T1</w:t>
      </w:r>
      <w:r>
        <w:rPr>
          <w:rFonts w:ascii="宋体" w:hAnsi="宋体" w:eastAsia="宋体" w:cs="宋体"/>
          <w:color w:val="000000"/>
        </w:rPr>
        <w:t>模式下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的数量变化主要受食物限制</w:t>
      </w:r>
    </w:p>
    <w:p w14:paraId="3F066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天，</w:t>
      </w:r>
      <w:r>
        <w:rPr>
          <w:rFonts w:ascii="Times New Roman" w:hAnsi="Times New Roman" w:eastAsia="Times New Roman" w:cs="Times New Roman"/>
          <w:color w:val="000000"/>
        </w:rPr>
        <w:t>T2</w:t>
      </w:r>
      <w:r>
        <w:rPr>
          <w:rFonts w:ascii="宋体" w:hAnsi="宋体" w:eastAsia="宋体" w:cs="宋体"/>
          <w:color w:val="000000"/>
        </w:rPr>
        <w:t>模式下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的数量变化主要受天敌影响</w:t>
      </w:r>
    </w:p>
    <w:p w14:paraId="6B1636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某种丝虫成虫可长期寄生在人体下半身较大的淋巴管或淋巴结，造成机械刺激，产生蛋白类分泌物进入血液循环。某感染者出现了发热、下肢组织水肿症状。下列关于该感染者的描述，错误的是（　　）</w:t>
      </w:r>
    </w:p>
    <w:p w14:paraId="47778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寄生部位淋巴管管腔变窄甚至被阻塞，淋巴液回流受阻</w:t>
      </w:r>
    </w:p>
    <w:p w14:paraId="18806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炎症部位毛细血管通透性增大，组织液生成增加</w:t>
      </w:r>
    </w:p>
    <w:p w14:paraId="0D33E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局部组织液中蛋白质滞留，血浆渗透压明显下降</w:t>
      </w:r>
    </w:p>
    <w:p w14:paraId="2ED92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肾脏会加强水、盐重吸收，血浆量不会发生明显下降</w:t>
      </w:r>
    </w:p>
    <w:p w14:paraId="2101B0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植物生物反应器是一种新兴的重组蛋白表达系统，研究人员按图示流程制备抗蛋白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的抗体。下列叙述错误的是（　　）</w:t>
      </w:r>
    </w:p>
    <w:p w14:paraId="63748B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971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0D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制备杂交瘤细胞需将免疫小鼠的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淋巴细胞与骨髓瘤细胞融合</w:t>
      </w:r>
    </w:p>
    <w:p w14:paraId="6906D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利用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免疫的小鼠能制备出多种抗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的单克隆抗体</w:t>
      </w:r>
    </w:p>
    <w:p w14:paraId="24C7E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单克隆抗体阳性克隆培养液中通常需要添加血清</w:t>
      </w:r>
    </w:p>
    <w:p w14:paraId="73944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可用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检测植物叶片中是否含有抗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的抗体</w:t>
      </w:r>
    </w:p>
    <w:p w14:paraId="324BC7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甲状腺上皮细胞膜上存在促甲状腺激素受体</w:t>
      </w:r>
      <w:r>
        <w:rPr>
          <w:rFonts w:ascii="Times New Roman" w:hAnsi="Times New Roman" w:eastAsia="Times New Roman" w:cs="Times New Roman"/>
          <w:color w:val="000000"/>
        </w:rPr>
        <w:t>(TSHR)</w:t>
      </w:r>
      <w:r>
        <w:rPr>
          <w:rFonts w:ascii="宋体" w:hAnsi="宋体" w:eastAsia="宋体" w:cs="宋体"/>
          <w:color w:val="000000"/>
        </w:rPr>
        <w:t>。某些因素会导致</w:t>
      </w:r>
      <w:r>
        <w:rPr>
          <w:rFonts w:ascii="Times New Roman" w:hAnsi="Times New Roman" w:eastAsia="Times New Roman" w:cs="Times New Roman"/>
          <w:color w:val="000000"/>
        </w:rPr>
        <w:t>TSHR</w:t>
      </w:r>
      <w:r>
        <w:rPr>
          <w:rFonts w:ascii="宋体" w:hAnsi="宋体" w:eastAsia="宋体" w:cs="宋体"/>
          <w:color w:val="000000"/>
        </w:rPr>
        <w:t>成为自身抗原，刺激机体产生</w:t>
      </w:r>
      <w:r>
        <w:rPr>
          <w:rFonts w:ascii="Times New Roman" w:hAnsi="Times New Roman" w:eastAsia="Times New Roman" w:cs="Times New Roman"/>
          <w:color w:val="000000"/>
        </w:rPr>
        <w:t>TSAb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TBAb</w:t>
      </w:r>
      <w:r>
        <w:rPr>
          <w:rFonts w:ascii="宋体" w:hAnsi="宋体" w:eastAsia="宋体" w:cs="宋体"/>
          <w:color w:val="000000"/>
        </w:rPr>
        <w:t>两种抗体，影响甲状腺激素</w:t>
      </w:r>
      <w:r>
        <w:rPr>
          <w:rFonts w:ascii="Times New Roman" w:hAnsi="Times New Roman" w:eastAsia="Times New Roman" w:cs="Times New Roman"/>
          <w:color w:val="000000"/>
        </w:rPr>
        <w:t>(TH)</w:t>
      </w:r>
      <w:r>
        <w:rPr>
          <w:rFonts w:ascii="宋体" w:hAnsi="宋体" w:eastAsia="宋体" w:cs="宋体"/>
          <w:color w:val="000000"/>
        </w:rPr>
        <w:t>的分泌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。据图分析，下列叙述正确的是（　　）</w:t>
      </w:r>
    </w:p>
    <w:p w14:paraId="4C25A6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2477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01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TSAb</w:t>
      </w:r>
      <w:r>
        <w:rPr>
          <w:rFonts w:ascii="宋体" w:hAnsi="宋体" w:eastAsia="宋体" w:cs="宋体"/>
          <w:color w:val="000000"/>
        </w:rPr>
        <w:t>可替代</w:t>
      </w:r>
      <w:r>
        <w:rPr>
          <w:rFonts w:ascii="Times New Roman" w:hAnsi="Times New Roman" w:eastAsia="Times New Roman" w:cs="Times New Roman"/>
          <w:color w:val="000000"/>
        </w:rPr>
        <w:t>TSH</w:t>
      </w:r>
      <w:r>
        <w:rPr>
          <w:rFonts w:ascii="宋体" w:hAnsi="宋体" w:eastAsia="宋体" w:cs="宋体"/>
          <w:color w:val="000000"/>
        </w:rPr>
        <w:t>调节</w:t>
      </w:r>
      <w:r>
        <w:rPr>
          <w:rFonts w:ascii="Times New Roman" w:hAnsi="Times New Roman" w:eastAsia="Times New Roman" w:cs="Times New Roman"/>
          <w:color w:val="000000"/>
        </w:rPr>
        <w:t>TH</w:t>
      </w:r>
      <w:r>
        <w:rPr>
          <w:rFonts w:ascii="宋体" w:hAnsi="宋体" w:eastAsia="宋体" w:cs="宋体"/>
          <w:color w:val="000000"/>
        </w:rPr>
        <w:t>的分泌量</w:t>
      </w:r>
    </w:p>
    <w:p w14:paraId="2C41F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TSAb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TSH</w:t>
      </w:r>
      <w:r>
        <w:rPr>
          <w:rFonts w:ascii="宋体" w:hAnsi="宋体" w:eastAsia="宋体" w:cs="宋体"/>
          <w:color w:val="000000"/>
        </w:rPr>
        <w:t>促进</w:t>
      </w:r>
      <w:r>
        <w:rPr>
          <w:rFonts w:ascii="Times New Roman" w:hAnsi="Times New Roman" w:eastAsia="Times New Roman" w:cs="Times New Roman"/>
          <w:color w:val="000000"/>
        </w:rPr>
        <w:t>TH</w:t>
      </w:r>
      <w:r>
        <w:rPr>
          <w:rFonts w:ascii="宋体" w:hAnsi="宋体" w:eastAsia="宋体" w:cs="宋体"/>
          <w:color w:val="000000"/>
        </w:rPr>
        <w:t>分泌的功能具有协同效应</w:t>
      </w:r>
    </w:p>
    <w:p w14:paraId="3E260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TSAb</w:t>
      </w:r>
      <w:r>
        <w:rPr>
          <w:rFonts w:ascii="宋体" w:hAnsi="宋体" w:eastAsia="宋体" w:cs="宋体"/>
          <w:color w:val="000000"/>
        </w:rPr>
        <w:t>会导致正常机体的</w:t>
      </w:r>
      <w:r>
        <w:rPr>
          <w:rFonts w:ascii="Times New Roman" w:hAnsi="Times New Roman" w:eastAsia="Times New Roman" w:cs="Times New Roman"/>
          <w:color w:val="000000"/>
        </w:rPr>
        <w:t>TRH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TSH</w:t>
      </w:r>
      <w:r>
        <w:rPr>
          <w:rFonts w:ascii="宋体" w:hAnsi="宋体" w:eastAsia="宋体" w:cs="宋体"/>
          <w:color w:val="000000"/>
        </w:rPr>
        <w:t>分泌量减少</w:t>
      </w:r>
    </w:p>
    <w:p w14:paraId="1DA4B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TBAb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TSH</w:t>
      </w:r>
      <w:r>
        <w:rPr>
          <w:rFonts w:ascii="宋体" w:hAnsi="宋体" w:eastAsia="宋体" w:cs="宋体"/>
          <w:color w:val="000000"/>
        </w:rPr>
        <w:t>都能与</w:t>
      </w:r>
      <w:r>
        <w:rPr>
          <w:rFonts w:ascii="Times New Roman" w:hAnsi="Times New Roman" w:eastAsia="Times New Roman" w:cs="Times New Roman"/>
          <w:color w:val="000000"/>
        </w:rPr>
        <w:t>TSHR</w:t>
      </w:r>
      <w:r>
        <w:rPr>
          <w:rFonts w:ascii="宋体" w:hAnsi="宋体" w:eastAsia="宋体" w:cs="宋体"/>
          <w:color w:val="000000"/>
        </w:rPr>
        <w:t>结合，减少</w:t>
      </w:r>
      <w:r>
        <w:rPr>
          <w:rFonts w:ascii="Times New Roman" w:hAnsi="Times New Roman" w:eastAsia="Times New Roman" w:cs="Times New Roman"/>
          <w:color w:val="000000"/>
        </w:rPr>
        <w:t>TH</w:t>
      </w:r>
      <w:r>
        <w:rPr>
          <w:rFonts w:ascii="宋体" w:hAnsi="宋体" w:eastAsia="宋体" w:cs="宋体"/>
          <w:color w:val="000000"/>
        </w:rPr>
        <w:t>的分泌量</w:t>
      </w:r>
    </w:p>
    <w:p w14:paraId="30EDD2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成年人乳糖酶基因的表达量明显低于婴幼儿时期。部分成年人调控乳糖酶基因表达的序列发生突变，可阻止其表达量显著下降，是他们能保持乳糖耐受的重要原因。研究人员对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个地区成年人乳糖耐受及相关情况做了调查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。据表分析，下列推测合理的是（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290"/>
        <w:gridCol w:w="2130"/>
        <w:gridCol w:w="3180"/>
        <w:gridCol w:w="1710"/>
      </w:tblGrid>
      <w:tr w14:paraId="253AE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65B3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1A1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畜牧业情况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EDC0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乳糖耐受个体的比例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FE5CC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乳糖耐受个体的高频率突变位点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71C7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变异来源</w:t>
            </w:r>
          </w:p>
        </w:tc>
      </w:tr>
      <w:tr w14:paraId="50275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E8D2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AB9A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8EE0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5FDA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位点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ABA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独立起源</w:t>
            </w:r>
          </w:p>
        </w:tc>
      </w:tr>
      <w:tr w14:paraId="75FD5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77F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28469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5E2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328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位点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6528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独立起源</w:t>
            </w:r>
          </w:p>
        </w:tc>
      </w:tr>
      <w:tr w14:paraId="28DBA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7C3D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9EA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ACFB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611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位点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47AB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由基因流动引入</w:t>
            </w:r>
          </w:p>
        </w:tc>
      </w:tr>
      <w:tr w14:paraId="7C6A1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44A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2C6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不发达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FEFE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55A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位点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58F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独立起源</w:t>
            </w:r>
          </w:p>
        </w:tc>
      </w:tr>
    </w:tbl>
    <w:p w14:paraId="14A17B75">
      <w:pPr>
        <w:spacing w:line="360" w:lineRule="auto"/>
        <w:jc w:val="both"/>
        <w:textAlignment w:val="center"/>
        <w:rPr>
          <w:color w:val="000000"/>
        </w:rPr>
      </w:pPr>
    </w:p>
    <w:p w14:paraId="713C2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甲地区乳糖耐受的成年人中不会出现位点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的突变</w:t>
      </w:r>
    </w:p>
    <w:p w14:paraId="78527F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乙地区成年人乳糖耐受和畜牧业发展发生了协同进化</w:t>
      </w:r>
    </w:p>
    <w:p w14:paraId="1D6F7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丙地区成年人乳糖耐受比例高是因为与乙地区广泛通婚</w:t>
      </w:r>
    </w:p>
    <w:p w14:paraId="7B5C1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丁地区乳糖耐受基因型的比例会在选择压力驱动下增加</w:t>
      </w:r>
    </w:p>
    <w:p w14:paraId="311DA9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分。在每小题给出的四个选项中，有两项或两项以上符合题目要求，全部选对的得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D5EBD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锌是植物生长发育的必需元素，缺锌会影响色氨酸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合成</w:t>
      </w:r>
      <w:r>
        <w:rPr>
          <w:rFonts w:ascii="Times New Roman" w:hAnsi="Times New Roman" w:eastAsia="Times New Roman" w:cs="Times New Roman"/>
          <w:color w:val="000000"/>
        </w:rPr>
        <w:t>IAA</w:t>
      </w:r>
      <w:r>
        <w:rPr>
          <w:rFonts w:ascii="宋体" w:hAnsi="宋体" w:eastAsia="宋体" w:cs="宋体"/>
          <w:color w:val="000000"/>
        </w:rPr>
        <w:t>的原料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和叶绿素等细胞组分的合成。研究人员分别测定了某植物幼苗在正常供锌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对照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和缺锌条件下培养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天后的相关指标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。下列关于缺锌组的分析，合理的是（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2"/>
        <w:gridCol w:w="1416"/>
        <w:gridCol w:w="2270"/>
        <w:gridCol w:w="2226"/>
        <w:gridCol w:w="1917"/>
        <w:gridCol w:w="1265"/>
      </w:tblGrid>
      <w:tr w14:paraId="05184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B8E8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8DA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叶绿素含量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(mg·g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AAA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净光合速率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(μmolCO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·m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·s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B206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气孔导度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(mmolCO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·m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·s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D2EF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胞间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浓度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(μmol·mol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AE2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IAA</w:t>
            </w:r>
            <w:r>
              <w:rPr>
                <w:rFonts w:ascii="宋体" w:hAnsi="宋体" w:eastAsia="宋体" w:cs="宋体"/>
                <w:color w:val="000000"/>
              </w:rPr>
              <w:t>含量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(ng·g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  <w:tr w14:paraId="5E256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9E2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对照组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A99E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9E3A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D7856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416.9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F7C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329.8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9058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72.6</w:t>
            </w:r>
          </w:p>
        </w:tc>
      </w:tr>
      <w:tr w14:paraId="2E06B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FD6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缺锌组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249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C431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694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247.2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7EF3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363.6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530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34.7</w:t>
            </w:r>
          </w:p>
        </w:tc>
      </w:tr>
    </w:tbl>
    <w:p w14:paraId="50ACBBFA">
      <w:pPr>
        <w:spacing w:line="360" w:lineRule="auto"/>
        <w:jc w:val="both"/>
        <w:textAlignment w:val="center"/>
        <w:rPr>
          <w:color w:val="000000"/>
        </w:rPr>
      </w:pPr>
    </w:p>
    <w:p w14:paraId="2DEFF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净光合速率下降的直接原因是气孔导度下降</w:t>
      </w:r>
    </w:p>
    <w:p w14:paraId="30EAA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叶绿素含量下降的直接原因是净光合速率下降</w:t>
      </w:r>
    </w:p>
    <w:p w14:paraId="5B5FC9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胞间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浓度升高的直接原因是光合作用减弱</w:t>
      </w:r>
    </w:p>
    <w:p w14:paraId="69C4E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IAA</w:t>
      </w:r>
      <w:r>
        <w:rPr>
          <w:rFonts w:ascii="宋体" w:hAnsi="宋体" w:eastAsia="宋体" w:cs="宋体"/>
          <w:color w:val="000000"/>
        </w:rPr>
        <w:t>含量下降的直接原因是合成原料供应不足</w:t>
      </w:r>
    </w:p>
    <w:p w14:paraId="1E0144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研究人员按图示流程制备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基因编码的耐高温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聚合酶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。下列关于该流程的叙述，错误的是（　　）</w:t>
      </w:r>
    </w:p>
    <w:p w14:paraId="07AC74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2390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D2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需在</w:t>
      </w:r>
      <w:r>
        <w:rPr>
          <w:rFonts w:ascii="Times New Roman" w:hAnsi="Times New Roman" w:eastAsia="Times New Roman" w:cs="Times New Roman"/>
          <w:color w:val="000000"/>
        </w:rPr>
        <w:t>72℃</w:t>
      </w:r>
      <w:r>
        <w:rPr>
          <w:rFonts w:ascii="宋体" w:hAnsi="宋体" w:eastAsia="宋体" w:cs="宋体"/>
          <w:color w:val="000000"/>
        </w:rPr>
        <w:t>条件下培养基因工程菌</w:t>
      </w:r>
    </w:p>
    <w:p w14:paraId="706A6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添加高浓度的诱导物可获得高产量的</w:t>
      </w:r>
      <w:r>
        <w:rPr>
          <w:rFonts w:ascii="Times New Roman" w:hAnsi="Times New Roman" w:eastAsia="Times New Roman" w:cs="Times New Roman"/>
          <w:color w:val="000000"/>
        </w:rPr>
        <w:t>T</w:t>
      </w:r>
    </w:p>
    <w:p w14:paraId="7AE1D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可根据电泳结果初步评价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的纯度</w:t>
      </w:r>
    </w:p>
    <w:p w14:paraId="57E43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可根据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产物的多少计算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的活性</w:t>
      </w:r>
    </w:p>
    <w:p w14:paraId="142870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为研究草方格的治沙效果，研究人员调查了草方格不同年度的相关指标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。下列推测合理的是（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10"/>
        <w:gridCol w:w="2865"/>
        <w:gridCol w:w="713"/>
        <w:gridCol w:w="975"/>
        <w:gridCol w:w="660"/>
        <w:gridCol w:w="975"/>
        <w:gridCol w:w="660"/>
        <w:gridCol w:w="975"/>
      </w:tblGrid>
      <w:tr w14:paraId="48BC8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8AD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FE00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土壤中粒径较小组分含量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(%)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F8F2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A(</w:t>
            </w:r>
            <w:r>
              <w:rPr>
                <w:rFonts w:ascii="宋体" w:hAnsi="宋体" w:eastAsia="宋体" w:cs="宋体"/>
                <w:color w:val="000000"/>
              </w:rPr>
              <w:t>草本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09EE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B(</w:t>
            </w:r>
            <w:r>
              <w:rPr>
                <w:rFonts w:ascii="宋体" w:hAnsi="宋体" w:eastAsia="宋体" w:cs="宋体"/>
                <w:color w:val="000000"/>
              </w:rPr>
              <w:t>草本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58A0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C(</w:t>
            </w:r>
            <w:r>
              <w:rPr>
                <w:rFonts w:ascii="宋体" w:hAnsi="宋体" w:eastAsia="宋体" w:cs="宋体"/>
                <w:color w:val="000000"/>
              </w:rPr>
              <w:t>灌木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  <w:tr w14:paraId="2726A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ED3F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DC95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A45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株数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306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盖度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(%)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891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株数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918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盖度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(%)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C20C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株数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311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盖度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(%)</w:t>
            </w:r>
          </w:p>
        </w:tc>
      </w:tr>
      <w:tr w14:paraId="4CFDD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DC9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879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8405C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B97A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B4633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36D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FD3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3FE6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</w:tr>
      <w:tr w14:paraId="10A68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443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FAE9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CBE2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026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6D87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59D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806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6BBC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</w:tr>
      <w:tr w14:paraId="4AA59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86FE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ACBD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1A175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65D6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68DB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CEED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1A1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FCFCE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</w:tr>
      <w:tr w14:paraId="563D0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6E06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9B981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779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B96B1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E2C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AB1B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616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9F3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12.1</w:t>
            </w:r>
          </w:p>
        </w:tc>
      </w:tr>
      <w:tr w14:paraId="67B6C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F02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425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47F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16BA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73D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78A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CFF17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4FF8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59.8</w:t>
            </w:r>
          </w:p>
        </w:tc>
      </w:tr>
    </w:tbl>
    <w:p w14:paraId="740116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注：“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”表示未调查到数据，“盖度”在题中可代表优势度</w:t>
      </w:r>
    </w:p>
    <w:p w14:paraId="75AB2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年间草方格内未发生群落演替</w:t>
      </w:r>
    </w:p>
    <w:p w14:paraId="2C0A1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年间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的生态位发生了重叠</w:t>
      </w:r>
    </w:p>
    <w:p w14:paraId="6EB33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年间群落结构的变化说明群落在衰退</w:t>
      </w:r>
    </w:p>
    <w:p w14:paraId="3C7EA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相较往年，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年的草方格内土壤保水性最高</w:t>
      </w:r>
    </w:p>
    <w:p w14:paraId="553367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某植物的二倍体植株</w:t>
      </w:r>
      <w:r>
        <w:rPr>
          <w:rFonts w:ascii="Times New Roman" w:hAnsi="Times New Roman" w:eastAsia="Times New Roman" w:cs="Times New Roman"/>
          <w:color w:val="000000"/>
        </w:rPr>
        <w:t>F(</w:t>
      </w:r>
      <w:r>
        <w:rPr>
          <w:rFonts w:ascii="宋体" w:hAnsi="宋体" w:eastAsia="宋体" w:cs="宋体"/>
          <w:color w:val="000000"/>
        </w:rPr>
        <w:t>母本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与异源四倍体植株</w:t>
      </w:r>
      <w:r>
        <w:rPr>
          <w:rFonts w:ascii="Times New Roman" w:hAnsi="Times New Roman" w:eastAsia="Times New Roman" w:cs="Times New Roman"/>
          <w:color w:val="000000"/>
        </w:rPr>
        <w:t>M(</w:t>
      </w:r>
      <w:r>
        <w:rPr>
          <w:rFonts w:ascii="宋体" w:hAnsi="宋体" w:eastAsia="宋体" w:cs="宋体"/>
          <w:color w:val="000000"/>
        </w:rPr>
        <w:t>父本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的杂交后代中出现了四倍体植株</w:t>
      </w:r>
      <w:r>
        <w:rPr>
          <w:rFonts w:ascii="Times New Roman" w:hAnsi="Times New Roman" w:eastAsia="Times New Roman" w:cs="Times New Roman"/>
          <w:color w:val="000000"/>
        </w:rPr>
        <w:t>Z1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Z3.</w:t>
      </w:r>
      <w:r>
        <w:rPr>
          <w:rFonts w:ascii="宋体" w:hAnsi="宋体" w:eastAsia="宋体" w:cs="宋体"/>
          <w:color w:val="000000"/>
        </w:rPr>
        <w:t>为探究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在减数分裂中染色体分离的异常情况，研究人员在与染色体着丝粒紧密连锁的复等位基因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两侧设计引物，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后电泳，结果如图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不考虑减数分裂中交换引起的重组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。已知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的基因型为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，减数分裂正常。据图分析，下列关于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形成雌配子的叙述，合理的是（　　）</w:t>
      </w:r>
    </w:p>
    <w:p w14:paraId="304547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19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9E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若子代为</w:t>
      </w:r>
      <w:r>
        <w:rPr>
          <w:rFonts w:ascii="Times New Roman" w:hAnsi="Times New Roman" w:eastAsia="Times New Roman" w:cs="Times New Roman"/>
          <w:color w:val="000000"/>
        </w:rPr>
        <w:t>Z1</w:t>
      </w:r>
      <w:r>
        <w:rPr>
          <w:rFonts w:ascii="宋体" w:hAnsi="宋体" w:eastAsia="宋体" w:cs="宋体"/>
          <w:color w:val="000000"/>
        </w:rPr>
        <w:t>，则减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同源染色体不分离，减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姐妹染色单体正常分离</w:t>
      </w:r>
    </w:p>
    <w:p w14:paraId="10A6A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若子代为</w:t>
      </w:r>
      <w:r>
        <w:rPr>
          <w:rFonts w:ascii="Times New Roman" w:hAnsi="Times New Roman" w:eastAsia="Times New Roman" w:cs="Times New Roman"/>
          <w:color w:val="000000"/>
        </w:rPr>
        <w:t>Z2</w:t>
      </w:r>
      <w:r>
        <w:rPr>
          <w:rFonts w:ascii="宋体" w:hAnsi="宋体" w:eastAsia="宋体" w:cs="宋体"/>
          <w:color w:val="000000"/>
        </w:rPr>
        <w:t>，则减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同源染色体不分离，减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姐妹染色单体也不分离</w:t>
      </w:r>
    </w:p>
    <w:p w14:paraId="074B6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若子代为</w:t>
      </w:r>
      <w:r>
        <w:rPr>
          <w:rFonts w:ascii="Times New Roman" w:hAnsi="Times New Roman" w:eastAsia="Times New Roman" w:cs="Times New Roman"/>
          <w:color w:val="000000"/>
        </w:rPr>
        <w:t>Z3</w:t>
      </w:r>
      <w:r>
        <w:rPr>
          <w:rFonts w:ascii="宋体" w:hAnsi="宋体" w:eastAsia="宋体" w:cs="宋体"/>
          <w:color w:val="000000"/>
        </w:rPr>
        <w:t>，则减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同源染色体正常分离，减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姐妹染色单体不分离</w:t>
      </w:r>
    </w:p>
    <w:p w14:paraId="1C5B6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若减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和减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过程均正常，则子代基因型的电泳条带与</w:t>
      </w:r>
      <w:r>
        <w:rPr>
          <w:rFonts w:ascii="Times New Roman" w:hAnsi="Times New Roman" w:eastAsia="Times New Roman" w:cs="Times New Roman"/>
          <w:color w:val="000000"/>
        </w:rPr>
        <w:t>Z2</w:t>
      </w:r>
      <w:r>
        <w:rPr>
          <w:rFonts w:ascii="宋体" w:hAnsi="宋体" w:eastAsia="宋体" w:cs="宋体"/>
          <w:color w:val="000000"/>
        </w:rPr>
        <w:t>相同</w:t>
      </w:r>
    </w:p>
    <w:p w14:paraId="6AD7DC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91E1A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为探究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基因对水稻种子萌发的影响，研究人员以野生型水稻</w:t>
      </w:r>
      <w:r>
        <w:rPr>
          <w:rFonts w:ascii="Times New Roman" w:hAnsi="Times New Roman" w:eastAsia="Times New Roman" w:cs="Times New Roman"/>
          <w:color w:val="000000"/>
        </w:rPr>
        <w:t>(WT)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基因过表达株系</w:t>
      </w:r>
      <w:r>
        <w:rPr>
          <w:rFonts w:ascii="Times New Roman" w:hAnsi="Times New Roman" w:eastAsia="Times New Roman" w:cs="Times New Roman"/>
          <w:color w:val="000000"/>
        </w:rPr>
        <w:t>(A-OE)</w:t>
      </w:r>
      <w:r>
        <w:rPr>
          <w:rFonts w:ascii="宋体" w:hAnsi="宋体" w:eastAsia="宋体" w:cs="宋体"/>
          <w:color w:val="000000"/>
        </w:rPr>
        <w:t>的种子为材料开展实验，结果如图。回答下列问题：</w:t>
      </w:r>
    </w:p>
    <w:p w14:paraId="78409C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533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32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本实验设计需要保持温度、水分和空气等环境因素相同且适宜，以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为自变量，比较种子的萌发速率。</w:t>
      </w:r>
    </w:p>
    <w:p w14:paraId="52DEC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据图分析，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基因能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选填“提高”或“降低”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水稻种子萌发的速率；与</w:t>
      </w:r>
      <w:r>
        <w:rPr>
          <w:rFonts w:ascii="Times New Roman" w:hAnsi="Times New Roman" w:eastAsia="Times New Roman" w:cs="Times New Roman"/>
          <w:color w:val="000000"/>
        </w:rPr>
        <w:t>WT</w:t>
      </w:r>
      <w:r>
        <w:rPr>
          <w:rFonts w:ascii="宋体" w:hAnsi="宋体" w:eastAsia="宋体" w:cs="宋体"/>
          <w:color w:val="000000"/>
        </w:rPr>
        <w:t>相比，萌发中的</w:t>
      </w:r>
      <w:r>
        <w:rPr>
          <w:rFonts w:ascii="Times New Roman" w:hAnsi="Times New Roman" w:eastAsia="Times New Roman" w:cs="Times New Roman"/>
          <w:color w:val="000000"/>
        </w:rPr>
        <w:t>A-OE</w:t>
      </w:r>
      <w:r>
        <w:rPr>
          <w:rFonts w:ascii="宋体" w:hAnsi="宋体" w:eastAsia="宋体" w:cs="宋体"/>
          <w:color w:val="000000"/>
        </w:rPr>
        <w:t>种子内赤霉素</w:t>
      </w:r>
      <w:r>
        <w:rPr>
          <w:rFonts w:ascii="Times New Roman" w:hAnsi="Times New Roman" w:eastAsia="Times New Roman" w:cs="Times New Roman"/>
          <w:color w:val="000000"/>
        </w:rPr>
        <w:t>(GA)</w:t>
      </w:r>
      <w:r>
        <w:rPr>
          <w:rFonts w:ascii="宋体" w:hAnsi="宋体" w:eastAsia="宋体" w:cs="宋体"/>
          <w:color w:val="000000"/>
        </w:rPr>
        <w:t>和脱落酸</w:t>
      </w:r>
      <w:r>
        <w:rPr>
          <w:rFonts w:ascii="Times New Roman" w:hAnsi="Times New Roman" w:eastAsia="Times New Roman" w:cs="Times New Roman"/>
          <w:color w:val="000000"/>
        </w:rPr>
        <w:t>(ABA)</w:t>
      </w:r>
      <w:r>
        <w:rPr>
          <w:rFonts w:ascii="宋体" w:hAnsi="宋体" w:eastAsia="宋体" w:cs="宋体"/>
          <w:color w:val="000000"/>
        </w:rPr>
        <w:t>浓度的比值更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FFBD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进一步研究发现，激素合成或降解相关基因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的表达水平均受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基因的调控，单一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基因表达水平的变化对种子萌发速率的影响不如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共同调控的效果显著。结合下表预测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基因的功能。</w:t>
      </w:r>
    </w:p>
    <w:tbl>
      <w:tblPr>
        <w:tblStyle w:val="4"/>
        <w:tblW w:w="62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3330"/>
        <w:gridCol w:w="2310"/>
      </w:tblGrid>
      <w:tr w14:paraId="65A31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2FB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基因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80AB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WT</w:t>
            </w:r>
            <w:r>
              <w:rPr>
                <w:rFonts w:ascii="宋体" w:hAnsi="宋体" w:eastAsia="宋体" w:cs="宋体"/>
                <w:color w:val="000000"/>
              </w:rPr>
              <w:t>相比，萌发中的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A-OE</w:t>
            </w:r>
            <w:r>
              <w:rPr>
                <w:rFonts w:ascii="宋体" w:hAnsi="宋体" w:eastAsia="宋体" w:cs="宋体"/>
                <w:color w:val="000000"/>
              </w:rPr>
              <w:t>种子内相关基因表达水平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CBE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功能</w:t>
            </w:r>
          </w:p>
        </w:tc>
      </w:tr>
      <w:tr w14:paraId="061DE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1AE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D1E1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上升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D25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GA</w:t>
            </w:r>
            <w:r>
              <w:rPr>
                <w:rFonts w:ascii="宋体" w:hAnsi="宋体" w:eastAsia="宋体" w:cs="宋体"/>
                <w:color w:val="000000"/>
              </w:rPr>
              <w:t>合成</w:t>
            </w:r>
          </w:p>
        </w:tc>
      </w:tr>
      <w:tr w14:paraId="5D858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67A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3BD2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下降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058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________________</w:t>
            </w:r>
          </w:p>
        </w:tc>
      </w:tr>
    </w:tbl>
    <w:p w14:paraId="71B9F0A2">
      <w:pPr>
        <w:spacing w:line="360" w:lineRule="auto"/>
        <w:jc w:val="both"/>
        <w:textAlignment w:val="center"/>
        <w:rPr>
          <w:color w:val="000000"/>
        </w:rPr>
      </w:pPr>
    </w:p>
    <w:p w14:paraId="68973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为验证上述预测，研究人员拟采用基因敲除技术在</w:t>
      </w:r>
      <w:r>
        <w:rPr>
          <w:rFonts w:ascii="Times New Roman" w:hAnsi="Times New Roman" w:eastAsia="Times New Roman" w:cs="Times New Roman"/>
          <w:color w:val="000000"/>
        </w:rPr>
        <w:t>A-OE</w:t>
      </w:r>
      <w:r>
        <w:rPr>
          <w:rFonts w:ascii="宋体" w:hAnsi="宋体" w:eastAsia="宋体" w:cs="宋体"/>
          <w:color w:val="000000"/>
        </w:rPr>
        <w:t>株系中验证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基因的功能。依据表中信息，完善实验方案：</w:t>
      </w:r>
    </w:p>
    <w:p w14:paraId="1B3F2F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①实验分组</w:t>
      </w:r>
    </w:p>
    <w:p w14:paraId="31E210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对照组：</w:t>
      </w:r>
      <w:r>
        <w:rPr>
          <w:rFonts w:ascii="Times New Roman" w:hAnsi="Times New Roman" w:eastAsia="Times New Roman" w:cs="Times New Roman"/>
          <w:color w:val="000000"/>
        </w:rPr>
        <w:t>A-OE</w:t>
      </w:r>
      <w:r>
        <w:rPr>
          <w:rFonts w:ascii="宋体" w:hAnsi="宋体" w:eastAsia="宋体" w:cs="宋体"/>
          <w:color w:val="000000"/>
        </w:rPr>
        <w:t>株系的种子；</w:t>
      </w:r>
    </w:p>
    <w:p w14:paraId="53CFA8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实验组：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2B0EAD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②检测指标：相同且适宜的条件下，萌发中的种子内对应激素的含量。</w:t>
      </w:r>
    </w:p>
    <w:p w14:paraId="6F849E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③预期结果与结论：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3CFB59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磷循环“始”于岩石的风化，“终”于海洋的沉积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不考虑磷的气体形式，如图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，在维持生态平衡中发挥着重要作用。</w:t>
      </w:r>
    </w:p>
    <w:p w14:paraId="51B9A3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2257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FD6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1CA2C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磷在生物群落和无机环境之间循环的主要形式是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4ED5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与碳循环相比，磷循环的不同之处有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选填序号①易沉积；②周期长；③全球性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，导致磷资源易匮乏，自然条件下，磷更易成为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选填“水体”或“陆地”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生态系统初级生产力的重要限制因素。</w:t>
      </w:r>
    </w:p>
    <w:p w14:paraId="07C42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人类活动会对磷循环产生影响。施用磷肥可使作物增产，但过量使用会加速磷资源匮乏。从磷循环“始”与“终”的角度分析，过量施肥加速磷资源匮乏的原因是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。另外，过量的磷进入水体易引起水体富营养化，削弱了生态系统的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稳定性，在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反馈的作用下，最终导致水华或赤潮的爆发。</w:t>
      </w:r>
    </w:p>
    <w:p w14:paraId="4C078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为探究秸秆还田对农田及土壤中磷流失的影响，研究人员设置了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组田间实验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为期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，结果如表。据表推测，秸秆还田的作用有</w:t>
      </w:r>
      <w:r>
        <w:rPr>
          <w:color w:val="000000"/>
        </w:rPr>
        <w:t>___________________________________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简要写出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83"/>
        <w:gridCol w:w="1744"/>
        <w:gridCol w:w="1736"/>
        <w:gridCol w:w="1691"/>
        <w:gridCol w:w="1671"/>
      </w:tblGrid>
      <w:tr w14:paraId="0E099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942C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处理方式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B14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总径流量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(m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·hm</w:t>
            </w:r>
            <w:r>
              <w:rPr>
                <w:color w:val="000000"/>
                <w:vertAlign w:val="superscript"/>
              </w:rPr>
              <w:t>-2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2913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土壤中磷含量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(mg·kg</w:t>
            </w:r>
            <w:r>
              <w:rPr>
                <w:color w:val="000000"/>
                <w:vertAlign w:val="superscript"/>
              </w:rPr>
              <w:t>-1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C07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径流中磷总流失量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(g·hm</w:t>
            </w:r>
            <w:r>
              <w:rPr>
                <w:color w:val="000000"/>
                <w:vertAlign w:val="superscript"/>
              </w:rPr>
              <w:t>-2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02D8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农作物总产量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(t·hm</w:t>
            </w:r>
            <w:r>
              <w:rPr>
                <w:color w:val="000000"/>
                <w:vertAlign w:val="superscript"/>
              </w:rPr>
              <w:t>-2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  <w:tr w14:paraId="0DEE9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917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常规施肥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05FBE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10500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9326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7D3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4099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9.18</w:t>
            </w:r>
          </w:p>
        </w:tc>
      </w:tr>
      <w:tr w14:paraId="42FC4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44676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秸秆还田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常规施肥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08E3D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8095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E34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670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3B3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71E4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10.29</w:t>
            </w:r>
          </w:p>
        </w:tc>
      </w:tr>
    </w:tbl>
    <w:p w14:paraId="3E28B4A8">
      <w:pPr>
        <w:spacing w:line="360" w:lineRule="auto"/>
        <w:jc w:val="both"/>
        <w:textAlignment w:val="center"/>
        <w:rPr>
          <w:color w:val="000000"/>
        </w:rPr>
      </w:pPr>
    </w:p>
    <w:p w14:paraId="0D77C1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检测食品中维生素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  <w:vertAlign w:val="subscript"/>
        </w:rPr>
        <w:t>12</w:t>
      </w:r>
      <w:r>
        <w:rPr>
          <w:rFonts w:ascii="Times New Roman" w:hAnsi="Times New Roman" w:eastAsia="Times New Roman" w:cs="Times New Roman"/>
          <w:color w:val="000000"/>
        </w:rPr>
        <w:t>(VB</w:t>
      </w:r>
      <w:r>
        <w:rPr>
          <w:color w:val="000000"/>
          <w:vertAlign w:val="subscript"/>
        </w:rPr>
        <w:t>12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的含量具有重要意义。微生物法是一种检测</w:t>
      </w:r>
      <w:r>
        <w:rPr>
          <w:rFonts w:ascii="Times New Roman" w:hAnsi="Times New Roman" w:eastAsia="Times New Roman" w:cs="Times New Roman"/>
          <w:color w:val="000000"/>
        </w:rPr>
        <w:t>VB</w:t>
      </w:r>
      <w:r>
        <w:rPr>
          <w:color w:val="000000"/>
          <w:vertAlign w:val="subscript"/>
        </w:rPr>
        <w:t>12</w:t>
      </w:r>
      <w:r>
        <w:rPr>
          <w:rFonts w:ascii="宋体" w:hAnsi="宋体" w:eastAsia="宋体" w:cs="宋体"/>
          <w:color w:val="000000"/>
        </w:rPr>
        <w:t>含量的常用方法，其基本原理是测试菌的生长依赖</w:t>
      </w:r>
      <w:r>
        <w:rPr>
          <w:rFonts w:ascii="Times New Roman" w:hAnsi="Times New Roman" w:eastAsia="Times New Roman" w:cs="Times New Roman"/>
          <w:color w:val="000000"/>
        </w:rPr>
        <w:t>VB</w:t>
      </w:r>
      <w:r>
        <w:rPr>
          <w:color w:val="000000"/>
          <w:vertAlign w:val="subscript"/>
        </w:rPr>
        <w:t>12</w:t>
      </w:r>
      <w:r>
        <w:rPr>
          <w:rFonts w:ascii="宋体" w:hAnsi="宋体" w:eastAsia="宋体" w:cs="宋体"/>
          <w:color w:val="000000"/>
        </w:rPr>
        <w:t>，培养的生物量与培养基提供的</w:t>
      </w:r>
      <w:r>
        <w:rPr>
          <w:rFonts w:ascii="Times New Roman" w:hAnsi="Times New Roman" w:eastAsia="Times New Roman" w:cs="Times New Roman"/>
          <w:color w:val="000000"/>
        </w:rPr>
        <w:t>VB</w:t>
      </w:r>
      <w:r>
        <w:rPr>
          <w:color w:val="000000"/>
          <w:vertAlign w:val="subscript"/>
        </w:rPr>
        <w:t>12</w:t>
      </w:r>
      <w:r>
        <w:rPr>
          <w:rFonts w:ascii="宋体" w:hAnsi="宋体" w:eastAsia="宋体" w:cs="宋体"/>
          <w:color w:val="000000"/>
        </w:rPr>
        <w:t>量成对应关系，流程如图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培养物</w:t>
      </w:r>
      <w:r>
        <w:rPr>
          <w:rFonts w:ascii="Times New Roman" w:hAnsi="Times New Roman" w:eastAsia="Times New Roman" w:cs="Times New Roman"/>
          <w:color w:val="000000"/>
        </w:rPr>
        <w:t>OD</w:t>
      </w:r>
      <w:r>
        <w:rPr>
          <w:rFonts w:ascii="宋体" w:hAnsi="宋体" w:eastAsia="宋体" w:cs="宋体"/>
          <w:color w:val="000000"/>
        </w:rPr>
        <w:t>值是一种能反映菌体浓度的测量指标，与菌体浓度正相关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91CFB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3657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F05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5ECB9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图中液体培养基</w:t>
      </w:r>
      <w:r>
        <w:rPr>
          <w:rFonts w:ascii="Times New Roman" w:hAnsi="Times New Roman" w:eastAsia="Times New Roman" w:cs="Times New Roman"/>
          <w:color w:val="000000"/>
        </w:rPr>
        <w:t>(b)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(c)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选填“相同”或“不相同”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5206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制备测试菌液的“洗涤”和“重悬”操作需使用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溶液，以防止杂菌污染、保证菌体活性。</w:t>
      </w:r>
    </w:p>
    <w:p w14:paraId="03B20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在“检测食品中的</w:t>
      </w:r>
      <w:r>
        <w:rPr>
          <w:rFonts w:ascii="Times New Roman" w:hAnsi="Times New Roman" w:eastAsia="Times New Roman" w:cs="Times New Roman"/>
          <w:color w:val="000000"/>
        </w:rPr>
        <w:t>VB</w:t>
      </w:r>
      <w:r>
        <w:rPr>
          <w:color w:val="000000"/>
          <w:vertAlign w:val="subscript"/>
        </w:rPr>
        <w:t>12</w:t>
      </w:r>
      <w:r>
        <w:rPr>
          <w:rFonts w:ascii="宋体" w:hAnsi="宋体" w:eastAsia="宋体" w:cs="宋体"/>
          <w:color w:val="000000"/>
        </w:rPr>
        <w:t>含量”过程中需设计空白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阴性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对照实验，其培养管内包括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选填序号①液体培养基</w:t>
      </w:r>
      <w:r>
        <w:rPr>
          <w:rFonts w:ascii="Times New Roman" w:hAnsi="Times New Roman" w:eastAsia="Times New Roman" w:cs="Times New Roman"/>
          <w:color w:val="000000"/>
        </w:rPr>
        <w:t>(c)</w:t>
      </w:r>
      <w:r>
        <w:rPr>
          <w:rFonts w:ascii="宋体" w:hAnsi="宋体" w:eastAsia="宋体" w:cs="宋体"/>
          <w:color w:val="000000"/>
        </w:rPr>
        <w:t>；②测试菌液；③一定浓度的</w:t>
      </w:r>
      <w:r>
        <w:rPr>
          <w:rFonts w:ascii="Times New Roman" w:hAnsi="Times New Roman" w:eastAsia="Times New Roman" w:cs="Times New Roman"/>
          <w:color w:val="000000"/>
        </w:rPr>
        <w:t>VB</w:t>
      </w:r>
      <w:r>
        <w:rPr>
          <w:color w:val="000000"/>
          <w:vertAlign w:val="subscript"/>
        </w:rPr>
        <w:t>12</w:t>
      </w:r>
      <w:r>
        <w:rPr>
          <w:rFonts w:ascii="宋体" w:hAnsi="宋体" w:eastAsia="宋体" w:cs="宋体"/>
          <w:color w:val="000000"/>
        </w:rPr>
        <w:t>；④待测样品液；⑤用于提取</w:t>
      </w:r>
      <w:r>
        <w:rPr>
          <w:rFonts w:ascii="Times New Roman" w:hAnsi="Times New Roman" w:eastAsia="Times New Roman" w:cs="Times New Roman"/>
          <w:color w:val="000000"/>
        </w:rPr>
        <w:t>VB</w:t>
      </w:r>
      <w:r>
        <w:rPr>
          <w:color w:val="000000"/>
          <w:vertAlign w:val="subscript"/>
        </w:rPr>
        <w:t>12</w:t>
      </w:r>
      <w:r>
        <w:rPr>
          <w:rFonts w:ascii="宋体" w:hAnsi="宋体" w:eastAsia="宋体" w:cs="宋体"/>
          <w:color w:val="000000"/>
        </w:rPr>
        <w:t>的溶液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；同时还需设计“不接种测试菌液”的培养管作为另一组对照实验，具体目的是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DC0A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实验中需每隔一段时间检测培养物</w:t>
      </w:r>
      <w:r>
        <w:rPr>
          <w:rFonts w:ascii="Times New Roman" w:hAnsi="Times New Roman" w:eastAsia="Times New Roman" w:cs="Times New Roman"/>
          <w:color w:val="000000"/>
        </w:rPr>
        <w:t>OD</w:t>
      </w:r>
      <w:r>
        <w:rPr>
          <w:rFonts w:ascii="宋体" w:hAnsi="宋体" w:eastAsia="宋体" w:cs="宋体"/>
          <w:color w:val="000000"/>
        </w:rPr>
        <w:t>值。当</w:t>
      </w:r>
      <w:r>
        <w:rPr>
          <w:rFonts w:ascii="Times New Roman" w:hAnsi="Times New Roman" w:eastAsia="Times New Roman" w:cs="Times New Roman"/>
          <w:color w:val="000000"/>
        </w:rPr>
        <w:t>OD</w:t>
      </w:r>
      <w:r>
        <w:rPr>
          <w:rFonts w:ascii="宋体" w:hAnsi="宋体" w:eastAsia="宋体" w:cs="宋体"/>
          <w:color w:val="000000"/>
        </w:rPr>
        <w:t>值________时才能用于计算食品中</w:t>
      </w:r>
      <w:r>
        <w:rPr>
          <w:rFonts w:ascii="Times New Roman" w:hAnsi="Times New Roman" w:eastAsia="Times New Roman" w:cs="Times New Roman"/>
          <w:color w:val="000000"/>
        </w:rPr>
        <w:t>VB</w:t>
      </w:r>
      <w:r>
        <w:rPr>
          <w:color w:val="000000"/>
          <w:vertAlign w:val="subscript"/>
        </w:rPr>
        <w:t>12</w:t>
      </w:r>
      <w:r>
        <w:rPr>
          <w:rFonts w:ascii="宋体" w:hAnsi="宋体" w:eastAsia="宋体" w:cs="宋体"/>
          <w:color w:val="000000"/>
        </w:rPr>
        <w:t>浓度，原因是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07D00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睡眠在调节生长激素</w:t>
      </w:r>
      <w:r>
        <w:rPr>
          <w:rFonts w:ascii="Times New Roman" w:hAnsi="Times New Roman" w:eastAsia="Times New Roman" w:cs="Times New Roman"/>
          <w:color w:val="000000"/>
        </w:rPr>
        <w:t>(GH)</w:t>
      </w:r>
      <w:r>
        <w:rPr>
          <w:rFonts w:ascii="宋体" w:hAnsi="宋体" w:eastAsia="宋体" w:cs="宋体"/>
          <w:color w:val="000000"/>
        </w:rPr>
        <w:t>分泌中起重要作用。研究发现，“睡眠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觉醒”状态影响下丘脑中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神经元、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神经元和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神经元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均有内分泌功能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分泌的调控，分泌的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又能通过影响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神经元的兴奋性改变“睡眠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觉醒”状态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A)</w:t>
      </w:r>
      <w:r>
        <w:rPr>
          <w:rFonts w:ascii="宋体" w:hAnsi="宋体" w:eastAsia="宋体" w:cs="宋体"/>
          <w:color w:val="000000"/>
        </w:rPr>
        <w:t>。为探究具体机制，研究人员以小鼠为研究对象，开展了相关实验。回答下列问题：</w:t>
      </w:r>
    </w:p>
    <w:p w14:paraId="24BD9E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2343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B4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分析，通过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神经元对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分泌的调节方式为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调节。</w:t>
      </w:r>
    </w:p>
    <w:p w14:paraId="6A8A0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为探究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神经元在“睡眠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觉醒”状态下对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分泌调控的差异，研究人员分别在无刺激和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刺激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可激活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神经元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下，检测了睡眠和觉醒状态下的血液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浓度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代表浓度值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。据图分析，激活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神经元提高了睡眠对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分泌的促进作用，判断依据是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选填序号①</w:t>
      </w:r>
      <w:r>
        <w:rPr>
          <w:rFonts w:ascii="Times New Roman" w:hAnsi="Times New Roman" w:eastAsia="Times New Roman" w:cs="Times New Roman"/>
          <w:color w:val="000000"/>
        </w:rPr>
        <w:t>d-b&gt;c-a</w: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color w:val="000000"/>
        </w:rPr>
        <w:t>d-c&gt;b-a</w:t>
      </w:r>
      <w:r>
        <w:rPr>
          <w:rFonts w:ascii="宋体" w:hAnsi="宋体" w:eastAsia="宋体" w:cs="宋体"/>
          <w:color w:val="000000"/>
        </w:rPr>
        <w:t>；③</w:t>
      </w:r>
      <w:r>
        <w:rPr>
          <w:rFonts w:ascii="Times New Roman" w:hAnsi="Times New Roman" w:eastAsia="Times New Roman" w:cs="Times New Roman"/>
          <w:color w:val="000000"/>
        </w:rPr>
        <w:t>d+b&gt;c+a</w:t>
      </w:r>
      <w:r>
        <w:rPr>
          <w:rFonts w:ascii="宋体" w:hAnsi="宋体" w:eastAsia="宋体" w:cs="宋体"/>
          <w:color w:val="000000"/>
        </w:rPr>
        <w:t>；④</w:t>
      </w:r>
      <w:r>
        <w:rPr>
          <w:rFonts w:ascii="Times New Roman" w:hAnsi="Times New Roman" w:eastAsia="Times New Roman" w:cs="Times New Roman"/>
          <w:color w:val="000000"/>
        </w:rPr>
        <w:t>a+d&gt;b+c)</w:t>
      </w:r>
      <w:r>
        <w:rPr>
          <w:rFonts w:ascii="宋体" w:hAnsi="宋体" w:eastAsia="宋体" w:cs="宋体"/>
          <w:color w:val="000000"/>
        </w:rPr>
        <w:t>。</w:t>
      </w:r>
    </w:p>
    <w:p w14:paraId="5057D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为了解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神经元在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分泌调节中的作用，研究人员采用某刺激激活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神经元，发现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的分泌量下降。结合图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分析，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神经元释放的是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神经递质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根据突触后效应填写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神经元调节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分泌的过程是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BA7E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神经元上有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受体</w:t>
      </w:r>
      <w:r>
        <w:rPr>
          <w:rFonts w:ascii="Times New Roman" w:hAnsi="Times New Roman" w:eastAsia="Times New Roman" w:cs="Times New Roman"/>
          <w:color w:val="000000"/>
        </w:rPr>
        <w:t>(GHR</w:t>
      </w:r>
      <w:r>
        <w:rPr>
          <w:rFonts w:ascii="宋体" w:hAnsi="宋体" w:eastAsia="宋体" w:cs="宋体"/>
          <w:color w:val="000000"/>
        </w:rPr>
        <w:t>，可介导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激活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神经元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。为进一步探究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神经元在睡眠调控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分泌中的作用，研究人员构建了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神经元的</w:t>
      </w:r>
      <w:r>
        <w:rPr>
          <w:rFonts w:ascii="Times New Roman" w:hAnsi="Times New Roman" w:eastAsia="Times New Roman" w:cs="Times New Roman"/>
          <w:color w:val="000000"/>
        </w:rPr>
        <w:t>GHR</w:t>
      </w:r>
      <w:r>
        <w:rPr>
          <w:rFonts w:ascii="宋体" w:hAnsi="宋体" w:eastAsia="宋体" w:cs="宋体"/>
          <w:color w:val="000000"/>
        </w:rPr>
        <w:t>低表达小鼠模型，设置了两组实验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，检测了小鼠睡眠状态和觉醒状态的时长百分比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C)</w:t>
      </w:r>
      <w:r>
        <w:rPr>
          <w:rFonts w:ascii="宋体" w:hAnsi="宋体" w:eastAsia="宋体" w:cs="宋体"/>
          <w:color w:val="000000"/>
        </w:rPr>
        <w:t>。结合图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分析，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神经元对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分泌的调控机制为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反馈调节，选填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个序号并排序连成一条调控通路：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①小鼠睡眠；②小鼠觉醒；③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神经元兴奋；④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神经元兴奋性下降；⑤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神经元兴奋，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神经元兴奋性下降；⑥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神经元兴奋性下降，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神经元兴奋；⑦较高水平的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；⑧较低水平的</w:t>
      </w:r>
      <w:r>
        <w:rPr>
          <w:rFonts w:ascii="Times New Roman" w:hAnsi="Times New Roman" w:eastAsia="Times New Roman" w:cs="Times New Roman"/>
          <w:color w:val="000000"/>
        </w:rPr>
        <w:t>GH)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2842"/>
      </w:tblGrid>
      <w:tr w14:paraId="6671C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9A62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2672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</w:t>
            </w:r>
          </w:p>
        </w:tc>
      </w:tr>
      <w:tr w14:paraId="2CCB1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A38B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对照组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0BC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注射一定量的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GH</w:t>
            </w:r>
          </w:p>
        </w:tc>
      </w:tr>
      <w:tr w14:paraId="6E8D7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0258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339E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注射等量的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CSF(GH</w:t>
            </w:r>
            <w:r>
              <w:rPr>
                <w:rFonts w:ascii="宋体" w:hAnsi="宋体" w:eastAsia="宋体" w:cs="宋体"/>
                <w:color w:val="000000"/>
              </w:rPr>
              <w:t>的对照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  <w:tr w14:paraId="37D3C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D84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低表达组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611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注射等量的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GH</w:t>
            </w:r>
          </w:p>
        </w:tc>
      </w:tr>
      <w:tr w14:paraId="63B38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1309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8860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注射等量的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CSF(GH</w:t>
            </w:r>
            <w:r>
              <w:rPr>
                <w:rFonts w:ascii="宋体" w:hAnsi="宋体" w:eastAsia="宋体" w:cs="宋体"/>
                <w:color w:val="000000"/>
              </w:rPr>
              <w:t>的对照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</w:tbl>
    <w:p w14:paraId="3DDD0EC8">
      <w:pPr>
        <w:spacing w:line="360" w:lineRule="auto"/>
        <w:jc w:val="both"/>
        <w:textAlignment w:val="center"/>
        <w:rPr>
          <w:color w:val="000000"/>
        </w:rPr>
      </w:pPr>
    </w:p>
    <w:p w14:paraId="5A5AB0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“细胞质雄性不育”指雄蕊无法产生有功能的花粉，但雌蕊正常，其不育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可育基因型以“</w:t>
      </w:r>
      <w:r>
        <w:rPr>
          <w:rFonts w:ascii="Times New Roman" w:hAnsi="Times New Roman" w:eastAsia="Times New Roman" w:cs="Times New Roman"/>
          <w:color w:val="000000"/>
        </w:rPr>
        <w:t>(S)/(N)</w:t>
      </w:r>
      <w:r>
        <w:rPr>
          <w:rFonts w:ascii="宋体" w:hAnsi="宋体" w:eastAsia="宋体" w:cs="宋体"/>
          <w:color w:val="000000"/>
        </w:rPr>
        <w:t>”表示，遵循“母系遗传”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后代的线粒体几乎全部来自卵细胞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，某种雌雄同株植物线粒体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基因导致细胞质雄性不育，该性状可被核基因恢复。</w:t>
      </w:r>
    </w:p>
    <w:p w14:paraId="2A8F72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02AA6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研究表明，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基因编码的蛋白质可在线粒体内膜上形成跨膜通道，造成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等小分子物质泄漏，会妨碍细胞的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呼吸，最终影响育性。</w:t>
      </w:r>
    </w:p>
    <w:p w14:paraId="747BD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不育植株</w:t>
      </w:r>
      <w:r>
        <w:rPr>
          <w:rFonts w:ascii="Times New Roman" w:hAnsi="Times New Roman" w:eastAsia="Times New Roman" w:cs="Times New Roman"/>
          <w:color w:val="000000"/>
        </w:rPr>
        <w:t>(Ⅰ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Ⅲ)</w:t>
      </w:r>
      <w:r>
        <w:rPr>
          <w:rFonts w:ascii="宋体" w:hAnsi="宋体" w:eastAsia="宋体" w:cs="宋体"/>
          <w:color w:val="000000"/>
        </w:rPr>
        <w:t>和可育植株</w:t>
      </w:r>
      <w:r>
        <w:rPr>
          <w:rFonts w:ascii="Times New Roman" w:hAnsi="Times New Roman" w:eastAsia="Times New Roman" w:cs="Times New Roman"/>
          <w:color w:val="000000"/>
        </w:rPr>
        <w:t>(Ⅳ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Ⅴ)</w:t>
      </w:r>
      <w:r>
        <w:rPr>
          <w:rFonts w:ascii="宋体" w:hAnsi="宋体" w:eastAsia="宋体" w:cs="宋体"/>
          <w:color w:val="000000"/>
        </w:rPr>
        <w:t>均为纯合，其中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的基因型为</w:t>
      </w:r>
      <w:r>
        <w:rPr>
          <w:rFonts w:ascii="Times New Roman" w:hAnsi="Times New Roman" w:eastAsia="Times New Roman" w:cs="Times New Roman"/>
          <w:color w:val="000000"/>
        </w:rPr>
        <w:t>(S)aabb</w:t>
      </w:r>
      <w:r>
        <w:rPr>
          <w:rFonts w:ascii="宋体" w:hAnsi="宋体" w:eastAsia="宋体" w:cs="宋体"/>
          <w:color w:val="000000"/>
        </w:rPr>
        <w:t>．据表初步推测植株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基因型为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6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5"/>
        <w:gridCol w:w="2255"/>
        <w:gridCol w:w="2255"/>
      </w:tblGrid>
      <w:tr w14:paraId="2DA2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93B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杂交方式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D8D6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</w:t>
            </w:r>
            <w:r>
              <w:rPr>
                <w:color w:val="000000"/>
                <w:vertAlign w:val="subscript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表型比例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12A5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表型比例</w:t>
            </w:r>
          </w:p>
        </w:tc>
      </w:tr>
      <w:tr w14:paraId="62953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CBF4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Ⅰ×</w:t>
            </w:r>
            <w:r>
              <w:rPr>
                <w:rFonts w:ascii="宋体" w:hAnsi="宋体" w:eastAsia="宋体" w:cs="宋体"/>
                <w:color w:val="000000"/>
              </w:rPr>
              <w:t>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Ⅳ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AAF1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全为可育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2CF40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可育∶不育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=9</w:t>
            </w:r>
            <w:r>
              <w:rPr>
                <w:rFonts w:ascii="宋体" w:hAnsi="宋体" w:eastAsia="宋体" w:cs="宋体"/>
                <w:color w:val="000000"/>
              </w:rPr>
              <w:t>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49188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E47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Ⅱ×</w:t>
            </w:r>
            <w:r>
              <w:rPr>
                <w:rFonts w:ascii="宋体" w:hAnsi="宋体" w:eastAsia="宋体" w:cs="宋体"/>
                <w:color w:val="000000"/>
              </w:rPr>
              <w:t>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Ⅳ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C86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全为可育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植株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Ⅵ)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CCD0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可育∶不育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=3</w:t>
            </w:r>
            <w:r>
              <w:rPr>
                <w:rFonts w:ascii="宋体" w:hAnsi="宋体" w:eastAsia="宋体" w:cs="宋体"/>
                <w:color w:val="000000"/>
              </w:rPr>
              <w:t>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 w14:paraId="52A47B2A">
      <w:pPr>
        <w:spacing w:line="360" w:lineRule="auto"/>
        <w:jc w:val="both"/>
        <w:textAlignment w:val="center"/>
        <w:rPr>
          <w:color w:val="000000"/>
        </w:rPr>
      </w:pPr>
    </w:p>
    <w:p w14:paraId="2F853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分别以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基因</w:t>
      </w:r>
      <w:r>
        <w:rPr>
          <w:rFonts w:ascii="Times New Roman" w:hAnsi="Times New Roman" w:eastAsia="Times New Roman" w:cs="Times New Roman"/>
          <w:color w:val="000000"/>
        </w:rPr>
        <w:t>cDNA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5’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3’</w:t>
      </w:r>
      <w:r>
        <w:rPr>
          <w:rFonts w:ascii="宋体" w:hAnsi="宋体" w:eastAsia="宋体" w:cs="宋体"/>
          <w:color w:val="000000"/>
        </w:rPr>
        <w:t>端序列杂交检测植株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Ⅴ</w:t>
      </w:r>
      <w:r>
        <w:rPr>
          <w:rFonts w:ascii="宋体" w:hAnsi="宋体" w:eastAsia="宋体" w:cs="宋体"/>
          <w:color w:val="000000"/>
        </w:rPr>
        <w:t>的线粒体</w:t>
      </w:r>
      <w:r>
        <w:rPr>
          <w:rFonts w:ascii="Times New Roman" w:hAnsi="Times New Roman" w:eastAsia="Times New Roman" w:cs="Times New Roman"/>
          <w:color w:val="000000"/>
        </w:rPr>
        <w:t>mRNA(</w:t>
      </w:r>
      <w:r>
        <w:rPr>
          <w:rFonts w:ascii="宋体" w:hAnsi="宋体" w:eastAsia="宋体" w:cs="宋体"/>
          <w:color w:val="000000"/>
        </w:rPr>
        <w:t>假设细胞内核糖核酸外切酶活性受到完全抑制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，结果如图甲；以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蛋白的特异性抗体检测植株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Ⅴ</w:t>
      </w:r>
      <w:r>
        <w:rPr>
          <w:rFonts w:ascii="宋体" w:hAnsi="宋体" w:eastAsia="宋体" w:cs="宋体"/>
          <w:color w:val="000000"/>
        </w:rPr>
        <w:t>的线粒体蛋白质，结果如图乙。已知植株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基因为显性纯合，可推测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蛋白在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基因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发挥作用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选填序号①复制后转录前；②转录后翻译前；③翻译后加工前；④加工后运输前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FE699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91075" cy="1266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A1F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注：图甲为</w:t>
      </w:r>
      <w:r>
        <w:rPr>
          <w:rFonts w:ascii="Times New Roman" w:hAnsi="Times New Roman" w:eastAsia="Times New Roman" w:cs="Times New Roman"/>
          <w:color w:val="000000"/>
        </w:rPr>
        <w:t>mRNA</w:t>
      </w:r>
      <w:r>
        <w:rPr>
          <w:rFonts w:ascii="宋体" w:hAnsi="宋体" w:eastAsia="宋体" w:cs="宋体"/>
          <w:color w:val="000000"/>
        </w:rPr>
        <w:t>检测结果，图乙为蛋白质检测结果；▃表示检测到少量</w:t>
      </w:r>
      <w:r>
        <w:rPr>
          <w:rFonts w:ascii="Times New Roman" w:hAnsi="Times New Roman" w:eastAsia="Times New Roman" w:cs="Times New Roman"/>
          <w:color w:val="000000"/>
        </w:rPr>
        <w:t>mRNA</w:t>
      </w:r>
      <w:r>
        <w:rPr>
          <w:rFonts w:ascii="宋体" w:hAnsi="宋体" w:eastAsia="宋体" w:cs="宋体"/>
          <w:color w:val="000000"/>
        </w:rPr>
        <w:t>或蛋白质</w:t>
      </w:r>
    </w:p>
    <w:p w14:paraId="2F451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结合表和图分析，植株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的基因型为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。已知以植株</w:t>
      </w:r>
      <w:r>
        <w:rPr>
          <w:rFonts w:ascii="Times New Roman" w:hAnsi="Times New Roman" w:eastAsia="Times New Roman" w:cs="Times New Roman"/>
          <w:color w:val="000000"/>
        </w:rPr>
        <w:t>Ⅴ</w:t>
      </w:r>
      <w:r>
        <w:rPr>
          <w:rFonts w:ascii="宋体" w:hAnsi="宋体" w:eastAsia="宋体" w:cs="宋体"/>
          <w:color w:val="000000"/>
        </w:rPr>
        <w:t>为父本，不能恢复其与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杂交所结种子的育性，但可恢复其与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杂交所结种子的育性，可推测以植株</w:t>
      </w:r>
      <w:r>
        <w:rPr>
          <w:rFonts w:ascii="Times New Roman" w:hAnsi="Times New Roman" w:eastAsia="Times New Roman" w:cs="Times New Roman"/>
          <w:color w:val="000000"/>
        </w:rPr>
        <w:t>Ⅴ</w:t>
      </w:r>
      <w:r>
        <w:rPr>
          <w:rFonts w:ascii="宋体" w:hAnsi="宋体" w:eastAsia="宋体" w:cs="宋体"/>
          <w:color w:val="000000"/>
        </w:rPr>
        <w:t>为父本，植株</w:t>
      </w:r>
      <w:r>
        <w:rPr>
          <w:rFonts w:ascii="Times New Roman" w:hAnsi="Times New Roman" w:eastAsia="Times New Roman" w:cs="Times New Roman"/>
          <w:color w:val="000000"/>
        </w:rPr>
        <w:t>Ⅵ(</w:t>
      </w:r>
      <w:r>
        <w:rPr>
          <w:rFonts w:ascii="宋体" w:hAnsi="宋体" w:eastAsia="宋体" w:cs="宋体"/>
          <w:color w:val="000000"/>
        </w:rPr>
        <w:t>题表中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为母本杂交，后代的基因型及比例为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B1D11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综合上述，对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基因的功能推测合理的有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选填序号①完全清除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基因的</w:t>
      </w:r>
      <w:r>
        <w:rPr>
          <w:rFonts w:ascii="Times New Roman" w:hAnsi="Times New Roman" w:eastAsia="Times New Roman" w:cs="Times New Roman"/>
          <w:color w:val="000000"/>
        </w:rPr>
        <w:t>mRNA</w:t>
      </w:r>
      <w:r>
        <w:rPr>
          <w:rFonts w:ascii="宋体" w:hAnsi="宋体" w:eastAsia="宋体" w:cs="宋体"/>
          <w:color w:val="000000"/>
        </w:rPr>
        <w:t>；②完全清除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蛋白；③封闭一定量的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蛋白所形成的通道；④一定程度上修补线粒体内膜泄露造成的损伤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3486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6EA1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0519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1F1FFA"/>
    <w:rsid w:val="38274566"/>
    <w:rsid w:val="392D43D6"/>
    <w:rsid w:val="47F6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4241</Words>
  <Characters>4879</Characters>
  <Lines>0</Lines>
  <Paragraphs>0</Paragraphs>
  <TotalTime>5</TotalTime>
  <ScaleCrop>false</ScaleCrop>
  <LinksUpToDate>false</LinksUpToDate>
  <CharactersWithSpaces>4993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2026-06-25T19:00:00Z</dcterms:created>
  <dc:creator>学科网试题生产平台</dc:creator>
  <dc:description>4041006346731520</dc:description>
  <cp:lastModifiedBy>上帝掷骰子吗</cp:lastModifiedBy>
  <dcterms:modified xsi:type="dcterms:W3CDTF">2026-09-18T16:49:51Z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A19218F238B7473186EFFAC731AC51A9_12</vt:lpwstr>
  </property>
</Properties>
</file>