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C1737">
      <w:pPr>
        <w:spacing w:before="0" w:after="0" w:line="359" w:lineRule="exact"/>
        <w:ind w:left="1464" w:right="0" w:firstLine="0"/>
        <w:jc w:val="left"/>
        <w:rPr>
          <w:rFonts w:ascii="Times New Roman"/>
          <w:color w:val="000000"/>
          <w:spacing w:val="0"/>
          <w:sz w:val="32"/>
        </w:rPr>
      </w:pPr>
      <w:r>
        <w:pict>
          <v:shape id="_x00000" o:spid="_x0000_s102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 o:spid="_x0000_s102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 o:spid="_x0000_s102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 o:spid="_x0000_s1029" o:spt="75" type="#_x0000_t75" style="position:absolute;left:0pt;margin-left:213.6pt;margin-top:436.5pt;height:16.25pt;width:122.0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4" o:spid="_x0000_s1030" o:spt="75" type="#_x0000_t75" style="position:absolute;left:0pt;margin-left:162.55pt;margin-top:483pt;height:16.25pt;width:125.05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5" o:spid="_x0000_s1031" o:spt="75" type="#_x0000_t75" style="position:absolute;left:0pt;margin-left:47pt;margin-top:689.4pt;height:34.25pt;width:417.6pt;mso-position-horizontal-relative:page;mso-position-vertical-relative:page;z-index:-251657216;mso-width-relative:page;mso-height-relative:page;" filled="f" coordsize="21600,21600">
            <v:path/>
            <v:fill on="f" focussize="0,0"/>
            <v:stroke/>
            <v:imagedata r:id="rId16" o:title=""/>
            <o:lock v:ext="edit" aspectratio="t"/>
          </v:shape>
        </w:pict>
      </w:r>
      <w:r>
        <w:rPr>
          <w:rFonts w:ascii="Times New Roman"/>
          <w:b/>
          <w:color w:val="000000"/>
          <w:spacing w:val="-2"/>
          <w:sz w:val="32"/>
        </w:rPr>
        <w:t>2026</w:t>
      </w:r>
      <w:r>
        <w:rPr>
          <w:rFonts w:ascii="Times New Roman"/>
          <w:b/>
          <w:color w:val="000000"/>
          <w:spacing w:val="1"/>
          <w:sz w:val="32"/>
        </w:rPr>
        <w:t xml:space="preserve"> </w:t>
      </w:r>
      <w:r>
        <w:rPr>
          <w:rFonts w:ascii="宋体" w:hAnsi="宋体" w:cs="宋体"/>
          <w:color w:val="000000"/>
          <w:spacing w:val="1"/>
          <w:sz w:val="32"/>
        </w:rPr>
        <w:t>年普通高中学业水平选择性考试（湖南卷）</w:t>
      </w:r>
    </w:p>
    <w:p w14:paraId="4459E115">
      <w:pPr>
        <w:spacing w:before="282" w:after="0" w:line="325" w:lineRule="exact"/>
        <w:ind w:left="4394" w:right="0" w:firstLine="0"/>
        <w:jc w:val="left"/>
        <w:rPr>
          <w:rFonts w:ascii="Times New Roman"/>
          <w:color w:val="000000"/>
          <w:spacing w:val="0"/>
          <w:sz w:val="32"/>
        </w:rPr>
      </w:pPr>
      <w:r>
        <w:rPr>
          <w:rFonts w:ascii="宋体" w:hAnsi="宋体" w:cs="宋体"/>
          <w:color w:val="000000"/>
          <w:spacing w:val="0"/>
          <w:sz w:val="32"/>
        </w:rPr>
        <w:t>生物学</w:t>
      </w:r>
    </w:p>
    <w:p w14:paraId="6537C405">
      <w:pPr>
        <w:spacing w:before="244" w:after="0" w:line="276" w:lineRule="exact"/>
        <w:ind w:left="2892" w:right="0" w:firstLine="0"/>
        <w:jc w:val="left"/>
        <w:rPr>
          <w:rFonts w:ascii="Times New Roman"/>
          <w:color w:val="000000"/>
          <w:spacing w:val="0"/>
          <w:sz w:val="24"/>
        </w:rPr>
      </w:pPr>
      <w:r>
        <w:rPr>
          <w:rFonts w:ascii="宋体" w:hAnsi="宋体" w:cs="宋体"/>
          <w:color w:val="000000"/>
          <w:spacing w:val="0"/>
          <w:sz w:val="24"/>
        </w:rPr>
        <w:t>本试卷满分</w:t>
      </w:r>
      <w:r>
        <w:rPr>
          <w:rFonts w:ascii="Times New Roman"/>
          <w:color w:val="000000"/>
          <w:spacing w:val="0"/>
          <w:sz w:val="24"/>
        </w:rPr>
        <w:t xml:space="preserve"> </w:t>
      </w:r>
      <w:r>
        <w:rPr>
          <w:rFonts w:ascii="Times New Roman"/>
          <w:b/>
          <w:color w:val="000000"/>
          <w:spacing w:val="-1"/>
          <w:sz w:val="24"/>
        </w:rPr>
        <w:t xml:space="preserve">100 </w:t>
      </w:r>
      <w:r>
        <w:rPr>
          <w:rFonts w:ascii="宋体" w:hAnsi="宋体" w:cs="宋体"/>
          <w:color w:val="000000"/>
          <w:spacing w:val="2"/>
          <w:sz w:val="24"/>
        </w:rPr>
        <w:t>分，考试时间</w:t>
      </w:r>
      <w:r>
        <w:rPr>
          <w:rFonts w:ascii="Times New Roman"/>
          <w:color w:val="000000"/>
          <w:spacing w:val="-1"/>
          <w:sz w:val="24"/>
        </w:rPr>
        <w:t xml:space="preserve"> </w:t>
      </w:r>
      <w:r>
        <w:rPr>
          <w:rFonts w:ascii="Times New Roman"/>
          <w:b/>
          <w:color w:val="000000"/>
          <w:spacing w:val="-1"/>
          <w:sz w:val="24"/>
        </w:rPr>
        <w:t>75</w:t>
      </w:r>
      <w:r>
        <w:rPr>
          <w:rFonts w:ascii="Times New Roman"/>
          <w:b/>
          <w:color w:val="000000"/>
          <w:spacing w:val="0"/>
          <w:sz w:val="24"/>
        </w:rPr>
        <w:t xml:space="preserve"> </w:t>
      </w:r>
      <w:r>
        <w:rPr>
          <w:rFonts w:ascii="宋体" w:hAnsi="宋体" w:cs="宋体"/>
          <w:color w:val="000000"/>
          <w:spacing w:val="0"/>
          <w:sz w:val="24"/>
        </w:rPr>
        <w:t>分钟</w:t>
      </w:r>
    </w:p>
    <w:p w14:paraId="6D0F5BA9">
      <w:pPr>
        <w:spacing w:before="192" w:after="0" w:line="276" w:lineRule="exact"/>
        <w:ind w:left="0" w:right="0" w:firstLine="0"/>
        <w:jc w:val="left"/>
        <w:rPr>
          <w:rFonts w:ascii="Times New Roman"/>
          <w:color w:val="000000"/>
          <w:spacing w:val="0"/>
          <w:sz w:val="24"/>
        </w:rPr>
      </w:pPr>
      <w:r>
        <w:rPr>
          <w:rFonts w:ascii="宋体" w:hAnsi="宋体" w:cs="宋体"/>
          <w:color w:val="000000"/>
          <w:spacing w:val="5"/>
          <w:sz w:val="24"/>
        </w:rPr>
        <w:t>一、选择题：本题共</w:t>
      </w:r>
      <w:r>
        <w:rPr>
          <w:rFonts w:ascii="Times New Roman"/>
          <w:color w:val="000000"/>
          <w:spacing w:val="-1"/>
          <w:sz w:val="24"/>
        </w:rPr>
        <w:t xml:space="preserve"> </w:t>
      </w:r>
      <w:r>
        <w:rPr>
          <w:rFonts w:ascii="Times New Roman"/>
          <w:b/>
          <w:color w:val="000000"/>
          <w:spacing w:val="-1"/>
          <w:sz w:val="24"/>
        </w:rPr>
        <w:t>12</w:t>
      </w:r>
      <w:r>
        <w:rPr>
          <w:rFonts w:ascii="Times New Roman"/>
          <w:b/>
          <w:color w:val="000000"/>
          <w:spacing w:val="0"/>
          <w:sz w:val="24"/>
        </w:rPr>
        <w:t xml:space="preserve"> </w:t>
      </w:r>
      <w:r>
        <w:rPr>
          <w:rFonts w:ascii="宋体" w:hAnsi="宋体" w:cs="宋体"/>
          <w:color w:val="000000"/>
          <w:spacing w:val="5"/>
          <w:sz w:val="24"/>
        </w:rPr>
        <w:t>小题，每小题</w:t>
      </w:r>
      <w:r>
        <w:rPr>
          <w:rFonts w:ascii="Times New Roman"/>
          <w:color w:val="000000"/>
          <w:spacing w:val="-1"/>
          <w:sz w:val="24"/>
        </w:rPr>
        <w:t xml:space="preserve"> </w:t>
      </w:r>
      <w:r>
        <w:rPr>
          <w:rFonts w:ascii="Times New Roman"/>
          <w:b/>
          <w:color w:val="000000"/>
          <w:spacing w:val="0"/>
          <w:sz w:val="24"/>
        </w:rPr>
        <w:t>2</w:t>
      </w:r>
      <w:r>
        <w:rPr>
          <w:rFonts w:ascii="Times New Roman"/>
          <w:b/>
          <w:color w:val="000000"/>
          <w:spacing w:val="-1"/>
          <w:sz w:val="24"/>
        </w:rPr>
        <w:t xml:space="preserve"> </w:t>
      </w:r>
      <w:r>
        <w:rPr>
          <w:rFonts w:ascii="宋体" w:hAnsi="宋体" w:cs="宋体"/>
          <w:color w:val="000000"/>
          <w:spacing w:val="6"/>
          <w:sz w:val="24"/>
        </w:rPr>
        <w:t>分，共</w:t>
      </w:r>
      <w:r>
        <w:rPr>
          <w:rFonts w:ascii="Times New Roman"/>
          <w:color w:val="000000"/>
          <w:spacing w:val="-3"/>
          <w:sz w:val="24"/>
        </w:rPr>
        <w:t xml:space="preserve"> </w:t>
      </w:r>
      <w:r>
        <w:rPr>
          <w:rFonts w:ascii="Times New Roman"/>
          <w:b/>
          <w:color w:val="000000"/>
          <w:spacing w:val="-1"/>
          <w:sz w:val="24"/>
        </w:rPr>
        <w:t>24</w:t>
      </w:r>
      <w:r>
        <w:rPr>
          <w:rFonts w:ascii="Times New Roman"/>
          <w:b/>
          <w:color w:val="000000"/>
          <w:spacing w:val="0"/>
          <w:sz w:val="24"/>
        </w:rPr>
        <w:t xml:space="preserve"> </w:t>
      </w:r>
      <w:r>
        <w:rPr>
          <w:rFonts w:ascii="宋体" w:hAnsi="宋体" w:cs="宋体"/>
          <w:color w:val="000000"/>
          <w:spacing w:val="4"/>
          <w:sz w:val="24"/>
        </w:rPr>
        <w:t>分。在每小题给出的四个选项中，只有一</w:t>
      </w:r>
    </w:p>
    <w:p w14:paraId="36FFDDAD">
      <w:pPr>
        <w:spacing w:before="205" w:after="0" w:line="250" w:lineRule="exact"/>
        <w:ind w:left="0" w:right="0" w:firstLine="0"/>
        <w:jc w:val="left"/>
        <w:rPr>
          <w:rFonts w:ascii="Times New Roman"/>
          <w:color w:val="000000"/>
          <w:spacing w:val="0"/>
          <w:sz w:val="24"/>
        </w:rPr>
      </w:pPr>
      <w:r>
        <w:rPr>
          <w:rFonts w:ascii="宋体" w:hAnsi="宋体" w:cs="宋体"/>
          <w:color w:val="000000"/>
          <w:spacing w:val="0"/>
          <w:sz w:val="24"/>
        </w:rPr>
        <w:t>项是符合题目要求的。</w:t>
      </w:r>
    </w:p>
    <w:p w14:paraId="0E8728C2">
      <w:pPr>
        <w:spacing w:before="222"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关于细胞的生命历程，下列叙述错误的是（</w:t>
      </w:r>
      <w:r>
        <w:rPr>
          <w:rFonts w:ascii="Times New Roman"/>
          <w:color w:val="000000"/>
          <w:spacing w:val="473"/>
          <w:sz w:val="21"/>
        </w:rPr>
        <w:t xml:space="preserve"> </w:t>
      </w:r>
      <w:r>
        <w:rPr>
          <w:rFonts w:ascii="宋体" w:hAnsi="宋体" w:cs="宋体"/>
          <w:color w:val="000000"/>
          <w:spacing w:val="0"/>
          <w:sz w:val="21"/>
        </w:rPr>
        <w:t>）</w:t>
      </w:r>
    </w:p>
    <w:p w14:paraId="4D50C9F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人的受精卵、早期胚胎细胞和神经元都处于细胞周期中</w:t>
      </w:r>
    </w:p>
    <w:p w14:paraId="0C84726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人的肝细胞中</w:t>
      </w:r>
      <w:r>
        <w:rPr>
          <w:rFonts w:ascii="Times New Roman"/>
          <w:color w:val="000000"/>
          <w:spacing w:val="0"/>
          <w:sz w:val="21"/>
        </w:rPr>
        <w:t xml:space="preserve"> RNA </w:t>
      </w:r>
      <w:r>
        <w:rPr>
          <w:rFonts w:ascii="宋体" w:hAnsi="宋体" w:cs="宋体"/>
          <w:color w:val="000000"/>
          <w:spacing w:val="0"/>
          <w:sz w:val="21"/>
        </w:rPr>
        <w:t>聚合酶基因表达，胰岛素基因不表达</w:t>
      </w:r>
    </w:p>
    <w:p w14:paraId="2993194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毛囊细胞合成黑色素的功能下降是老年人白发产生的直接原因</w:t>
      </w:r>
    </w:p>
    <w:p w14:paraId="1639649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蝌蚪变态发育过程中，尾的消失是通过细胞凋亡实现的</w:t>
      </w:r>
    </w:p>
    <w:p w14:paraId="4349FBD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大规模生产治疗性单克隆抗体时，常采用悬浮细胞表达系统。下列叙述错误的是（</w:t>
      </w:r>
      <w:r>
        <w:rPr>
          <w:rFonts w:ascii="Times New Roman"/>
          <w:color w:val="000000"/>
          <w:spacing w:val="473"/>
          <w:sz w:val="21"/>
        </w:rPr>
        <w:t xml:space="preserve"> </w:t>
      </w:r>
      <w:r>
        <w:rPr>
          <w:rFonts w:ascii="宋体" w:hAnsi="宋体" w:cs="宋体"/>
          <w:color w:val="000000"/>
          <w:spacing w:val="0"/>
          <w:sz w:val="21"/>
        </w:rPr>
        <w:t>）</w:t>
      </w:r>
    </w:p>
    <w:p w14:paraId="4AABBA5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该类抗体在细胞中的翻译起始于游离在细胞质基质中的核糖体</w:t>
      </w:r>
    </w:p>
    <w:p w14:paraId="55BDF1A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该类抗体在细胞的内质网和高尔基体中修饰加工</w:t>
      </w:r>
    </w:p>
    <w:p w14:paraId="530F0DE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悬浮细胞在培养过程中出现增殖能力下降的原因是接触抑制</w:t>
      </w:r>
    </w:p>
    <w:p w14:paraId="441E86F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一种治疗性单克隆抗体一般只能与一种抗原结合</w:t>
      </w:r>
    </w:p>
    <w:p w14:paraId="3E3F86A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某基因的转录模板链部分序列为</w:t>
      </w:r>
      <w:r>
        <w:rPr>
          <w:rFonts w:ascii="Times New Roman"/>
          <w:color w:val="000000"/>
          <w:spacing w:val="2349"/>
          <w:sz w:val="21"/>
        </w:rPr>
        <w:t xml:space="preserve"> </w:t>
      </w:r>
      <w:r>
        <w:rPr>
          <w:rFonts w:ascii="宋体" w:hAnsi="宋体" w:cs="宋体"/>
          <w:color w:val="000000"/>
          <w:spacing w:val="0"/>
          <w:sz w:val="21"/>
        </w:rPr>
        <w:t>。下列叙述正确的是（</w:t>
      </w:r>
      <w:r>
        <w:rPr>
          <w:rFonts w:ascii="Times New Roman"/>
          <w:color w:val="000000"/>
          <w:spacing w:val="473"/>
          <w:sz w:val="21"/>
        </w:rPr>
        <w:t xml:space="preserve"> </w:t>
      </w:r>
      <w:r>
        <w:rPr>
          <w:rFonts w:ascii="宋体" w:hAnsi="宋体" w:cs="宋体"/>
          <w:color w:val="000000"/>
          <w:spacing w:val="0"/>
          <w:sz w:val="21"/>
        </w:rPr>
        <w:t>）</w:t>
      </w:r>
    </w:p>
    <w:p w14:paraId="50ED6B9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若基因碱基序列发生改变，则生物体的性状发生改变</w:t>
      </w:r>
    </w:p>
    <w:p w14:paraId="3B73441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转录产物部分序列为</w:t>
      </w:r>
    </w:p>
    <w:p w14:paraId="6444992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DNA </w:t>
      </w:r>
      <w:r>
        <w:rPr>
          <w:rFonts w:ascii="宋体" w:hAnsi="宋体" w:cs="宋体"/>
          <w:color w:val="000000"/>
          <w:spacing w:val="0"/>
          <w:sz w:val="21"/>
        </w:rPr>
        <w:t>的甲基化修饰不能遗传给后代</w:t>
      </w:r>
    </w:p>
    <w:p w14:paraId="76A88D5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该基因复制与转录都需要</w:t>
      </w:r>
      <w:r>
        <w:rPr>
          <w:rFonts w:ascii="Times New Roman"/>
          <w:color w:val="000000"/>
          <w:spacing w:val="0"/>
          <w:sz w:val="21"/>
        </w:rPr>
        <w:t xml:space="preserve"> 4 </w:t>
      </w:r>
      <w:r>
        <w:rPr>
          <w:rFonts w:ascii="宋体" w:hAnsi="宋体" w:cs="宋体"/>
          <w:color w:val="000000"/>
          <w:spacing w:val="0"/>
          <w:sz w:val="21"/>
        </w:rPr>
        <w:t>种游离的脱氧核苷酸</w:t>
      </w:r>
    </w:p>
    <w:p w14:paraId="0D844A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关于人类伴性遗传病的叙述，正确的是（</w:t>
      </w:r>
      <w:r>
        <w:rPr>
          <w:rFonts w:ascii="Times New Roman"/>
          <w:color w:val="000000"/>
          <w:spacing w:val="473"/>
          <w:sz w:val="21"/>
        </w:rPr>
        <w:t xml:space="preserve"> </w:t>
      </w:r>
      <w:r>
        <w:rPr>
          <w:rFonts w:ascii="宋体" w:hAnsi="宋体" w:cs="宋体"/>
          <w:color w:val="000000"/>
          <w:spacing w:val="0"/>
          <w:sz w:val="21"/>
        </w:rPr>
        <w:t>）</w:t>
      </w:r>
    </w:p>
    <w:p w14:paraId="50C01B2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女性患者与正常男性婚配，子代患病概率为</w:t>
      </w:r>
      <w:r>
        <w:rPr>
          <w:rFonts w:ascii="Times New Roman"/>
          <w:color w:val="000000"/>
          <w:spacing w:val="0"/>
          <w:sz w:val="21"/>
        </w:rPr>
        <w:t xml:space="preserve"> 1/2</w:t>
      </w:r>
    </w:p>
    <w:p w14:paraId="01A1654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抗维生素</w:t>
      </w:r>
      <w:r>
        <w:rPr>
          <w:rFonts w:ascii="Times New Roman"/>
          <w:color w:val="000000"/>
          <w:spacing w:val="0"/>
          <w:sz w:val="21"/>
        </w:rPr>
        <w:t xml:space="preserve"> D </w:t>
      </w:r>
      <w:r>
        <w:rPr>
          <w:rFonts w:ascii="宋体" w:hAnsi="宋体" w:cs="宋体"/>
          <w:color w:val="000000"/>
          <w:spacing w:val="0"/>
          <w:sz w:val="21"/>
        </w:rPr>
        <w:t>佝偻病患者中，男性比女性病症严重</w:t>
      </w:r>
    </w:p>
    <w:p w14:paraId="043A8E5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女性红绿色盲患者的儿子也是红绿色盲患者</w:t>
      </w:r>
    </w:p>
    <w:p w14:paraId="2A70F9B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性染色体组成为</w:t>
      </w:r>
      <w:r>
        <w:rPr>
          <w:rFonts w:ascii="Times New Roman"/>
          <w:color w:val="000000"/>
          <w:spacing w:val="0"/>
          <w:sz w:val="21"/>
        </w:rPr>
        <w:t xml:space="preserve"> XY </w:t>
      </w:r>
      <w:r>
        <w:rPr>
          <w:rFonts w:ascii="宋体" w:hAnsi="宋体" w:cs="宋体"/>
          <w:color w:val="000000"/>
          <w:spacing w:val="0"/>
          <w:sz w:val="21"/>
        </w:rPr>
        <w:t>的个体表现出女性性征是一种伴性遗传病</w:t>
      </w:r>
    </w:p>
    <w:p w14:paraId="43E413C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关于表中生物学实验的相关叙述，错误的是（</w:t>
      </w:r>
      <w:r>
        <w:rPr>
          <w:rFonts w:ascii="Times New Roman"/>
          <w:color w:val="000000"/>
          <w:spacing w:val="473"/>
          <w:sz w:val="21"/>
        </w:rPr>
        <w:t xml:space="preserve"> </w:t>
      </w:r>
      <w:r>
        <w:rPr>
          <w:rFonts w:ascii="宋体" w:hAnsi="宋体" w:cs="宋体"/>
          <w:color w:val="000000"/>
          <w:spacing w:val="0"/>
          <w:sz w:val="21"/>
        </w:rPr>
        <w:t>）</w:t>
      </w:r>
    </w:p>
    <w:p w14:paraId="161AB5E6">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选项</w:t>
      </w:r>
      <w:r>
        <w:rPr>
          <w:rFonts w:ascii="Times New Roman"/>
          <w:color w:val="000000"/>
          <w:spacing w:val="353"/>
          <w:sz w:val="21"/>
        </w:rPr>
        <w:t xml:space="preserve"> </w:t>
      </w:r>
      <w:r>
        <w:rPr>
          <w:rFonts w:ascii="宋体" w:hAnsi="宋体" w:cs="宋体"/>
          <w:color w:val="000000"/>
          <w:spacing w:val="0"/>
          <w:sz w:val="21"/>
        </w:rPr>
        <w:t>实验名称</w:t>
      </w:r>
      <w:r>
        <w:rPr>
          <w:rFonts w:ascii="Times New Roman"/>
          <w:color w:val="000000"/>
          <w:spacing w:val="1223"/>
          <w:sz w:val="21"/>
        </w:rPr>
        <w:t xml:space="preserve"> </w:t>
      </w:r>
      <w:r>
        <w:rPr>
          <w:rFonts w:ascii="宋体" w:hAnsi="宋体" w:cs="宋体"/>
          <w:color w:val="000000"/>
          <w:spacing w:val="0"/>
          <w:sz w:val="21"/>
        </w:rPr>
        <w:t>相关叙述</w:t>
      </w:r>
    </w:p>
    <w:p w14:paraId="5C3AC327">
      <w:pPr>
        <w:spacing w:before="112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79AD0BCC">
      <w:pPr>
        <w:spacing w:before="0" w:after="0" w:line="0" w:lineRule="exact"/>
        <w:ind w:left="0" w:right="0" w:firstLine="0"/>
        <w:jc w:val="left"/>
        <w:rPr>
          <w:rFonts w:ascii="Arial"/>
          <w:color w:val="FF0000"/>
          <w:spacing w:val="0"/>
          <w:sz w:val="2"/>
        </w:rPr>
      </w:pPr>
    </w:p>
    <w:p w14:paraId="1DE1511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2EDEFAE">
      <w:pPr>
        <w:sectPr>
          <w:headerReference r:id="rId6" w:type="first"/>
          <w:footerReference r:id="rId9" w:type="first"/>
          <w:headerReference r:id="rId4" w:type="default"/>
          <w:footerReference r:id="rId7" w:type="default"/>
          <w:headerReference r:id="rId5" w:type="even"/>
          <w:footerReference r:id="rId8" w:type="even"/>
          <w:pgSz w:w="11900" w:h="16840"/>
          <w:pgMar w:top="1462" w:right="100" w:bottom="0" w:left="1080" w:header="720" w:footer="720" w:gutter="0"/>
          <w:pgNumType w:start="1"/>
          <w:cols w:space="720" w:num="1"/>
          <w:docGrid w:linePitch="1" w:charSpace="0"/>
        </w:sectPr>
      </w:pPr>
    </w:p>
    <w:p w14:paraId="44A498BE">
      <w:pPr>
        <w:spacing w:before="0" w:after="0" w:line="0" w:lineRule="exact"/>
        <w:ind w:left="0" w:right="0" w:firstLine="0"/>
        <w:jc w:val="left"/>
        <w:rPr>
          <w:rFonts w:ascii="Arial"/>
          <w:color w:val="FF0000"/>
          <w:spacing w:val="0"/>
          <w:sz w:val="2"/>
        </w:rPr>
      </w:pPr>
    </w:p>
    <w:p w14:paraId="5C921D3F">
      <w:pPr>
        <w:spacing w:before="0" w:after="0" w:line="233" w:lineRule="exact"/>
        <w:ind w:left="0" w:right="2607" w:firstLine="825"/>
        <w:jc w:val="left"/>
        <w:rPr>
          <w:rFonts w:ascii="Times New Roman"/>
          <w:color w:val="000000"/>
          <w:spacing w:val="0"/>
          <w:sz w:val="21"/>
        </w:rPr>
      </w:pPr>
      <w:r>
        <w:pict>
          <v:shape id="_x00006" o:spid="_x0000_s1032"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7" o:spid="_x0000_s1033"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8" o:spid="_x0000_s1034" o:spt="75" type="#_x0000_t75" style="position:absolute;left:0pt;margin-left:47pt;margin-top:65.05pt;height:222.6pt;width:417.6pt;mso-position-horizontal-relative:page;mso-position-vertical-relative:page;z-index:-251657216;mso-width-relative:page;mso-height-relative:page;" filled="f" coordsize="21600,21600">
            <v:path/>
            <v:fill on="f" focussize="0,0"/>
            <v:stroke/>
            <v:imagedata r:id="rId17" o:title=""/>
            <o:lock v:ext="edit" aspectratio="t"/>
          </v:shape>
        </w:pict>
      </w:r>
      <w:r>
        <w:rPr>
          <w:rFonts w:ascii="宋体" w:hAnsi="宋体" w:cs="宋体"/>
          <w:color w:val="000000"/>
          <w:spacing w:val="30"/>
          <w:sz w:val="21"/>
        </w:rPr>
        <w:t>低温诱导植物细胞</w:t>
      </w:r>
      <w:r>
        <w:rPr>
          <w:rFonts w:ascii="Times New Roman"/>
          <w:color w:val="000000"/>
          <w:spacing w:val="147"/>
          <w:sz w:val="21"/>
        </w:rPr>
        <w:t xml:space="preserve"> </w:t>
      </w:r>
      <w:r>
        <w:rPr>
          <w:rFonts w:ascii="宋体" w:hAnsi="宋体" w:cs="宋体"/>
          <w:color w:val="000000"/>
          <w:spacing w:val="4"/>
          <w:sz w:val="21"/>
        </w:rPr>
        <w:t xml:space="preserve">低温能抑制洋葱根尖分生区细胞中纺锤体的形成，引起 </w:t>
      </w:r>
      <w:r>
        <w:rPr>
          <w:rFonts w:ascii="Times New Roman"/>
          <w:color w:val="000000"/>
          <w:spacing w:val="0"/>
          <w:sz w:val="21"/>
        </w:rPr>
        <w:t>A</w:t>
      </w:r>
    </w:p>
    <w:p w14:paraId="0C6BBAD1">
      <w:pPr>
        <w:spacing w:before="3" w:after="0" w:line="220" w:lineRule="exact"/>
        <w:ind w:left="825" w:right="0" w:firstLine="0"/>
        <w:jc w:val="left"/>
        <w:rPr>
          <w:rFonts w:ascii="Times New Roman"/>
          <w:color w:val="000000"/>
          <w:spacing w:val="0"/>
          <w:sz w:val="21"/>
        </w:rPr>
      </w:pPr>
      <w:r>
        <w:rPr>
          <w:rFonts w:ascii="宋体" w:hAnsi="宋体" w:cs="宋体"/>
          <w:color w:val="000000"/>
          <w:spacing w:val="0"/>
          <w:sz w:val="21"/>
        </w:rPr>
        <w:t>染色体数目的变化</w:t>
      </w:r>
      <w:r>
        <w:rPr>
          <w:rFonts w:ascii="Times New Roman"/>
          <w:color w:val="000000"/>
          <w:spacing w:val="383"/>
          <w:sz w:val="21"/>
        </w:rPr>
        <w:t xml:space="preserve"> </w:t>
      </w:r>
      <w:r>
        <w:rPr>
          <w:rFonts w:ascii="宋体" w:hAnsi="宋体" w:cs="宋体"/>
          <w:color w:val="000000"/>
          <w:spacing w:val="0"/>
          <w:sz w:val="21"/>
        </w:rPr>
        <w:t>细胞内染色体数目加倍</w:t>
      </w:r>
    </w:p>
    <w:p w14:paraId="5DE96E47">
      <w:pPr>
        <w:spacing w:before="413" w:after="0" w:line="220" w:lineRule="exact"/>
        <w:ind w:left="825" w:right="0" w:firstLine="0"/>
        <w:jc w:val="left"/>
        <w:rPr>
          <w:rFonts w:ascii="Times New Roman"/>
          <w:color w:val="000000"/>
          <w:spacing w:val="0"/>
          <w:sz w:val="21"/>
        </w:rPr>
      </w:pPr>
      <w:r>
        <w:rPr>
          <w:rFonts w:ascii="宋体" w:hAnsi="宋体" w:cs="宋体"/>
          <w:color w:val="000000"/>
          <w:spacing w:val="30"/>
          <w:sz w:val="21"/>
        </w:rPr>
        <w:t>绿叶中色素的提取</w:t>
      </w:r>
    </w:p>
    <w:p w14:paraId="2F26ADAA">
      <w:pPr>
        <w:spacing w:before="3"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2749"/>
          <w:sz w:val="21"/>
        </w:rPr>
        <w:t xml:space="preserve"> </w:t>
      </w:r>
      <w:r>
        <w:rPr>
          <w:rFonts w:ascii="宋体" w:hAnsi="宋体" w:cs="宋体"/>
          <w:color w:val="000000"/>
          <w:spacing w:val="0"/>
          <w:sz w:val="21"/>
        </w:rPr>
        <w:t>绿叶中的色素不溶于无水乙醇，</w:t>
      </w:r>
      <w:r>
        <w:rPr>
          <w:rFonts w:ascii="Times New Roman"/>
          <w:color w:val="000000"/>
          <w:spacing w:val="0"/>
          <w:sz w:val="21"/>
        </w:rPr>
        <w:t xml:space="preserve">DNA </w:t>
      </w:r>
      <w:r>
        <w:rPr>
          <w:rFonts w:ascii="宋体" w:hAnsi="宋体" w:cs="宋体"/>
          <w:color w:val="000000"/>
          <w:spacing w:val="0"/>
          <w:sz w:val="21"/>
        </w:rPr>
        <w:t>易溶于无水乙醇</w:t>
      </w:r>
    </w:p>
    <w:p w14:paraId="6606D645">
      <w:pPr>
        <w:spacing w:before="0" w:after="0" w:line="243" w:lineRule="exact"/>
        <w:ind w:left="825" w:right="0" w:firstLine="0"/>
        <w:jc w:val="left"/>
        <w:rPr>
          <w:rFonts w:ascii="Times New Roman"/>
          <w:color w:val="000000"/>
          <w:spacing w:val="0"/>
          <w:sz w:val="21"/>
        </w:rPr>
      </w:pPr>
      <w:r>
        <w:rPr>
          <w:rFonts w:ascii="宋体" w:hAnsi="宋体" w:cs="宋体"/>
          <w:color w:val="000000"/>
          <w:spacing w:val="0"/>
          <w:sz w:val="21"/>
        </w:rPr>
        <w:t>和</w:t>
      </w:r>
      <w:r>
        <w:rPr>
          <w:rFonts w:ascii="Times New Roman"/>
          <w:color w:val="000000"/>
          <w:spacing w:val="0"/>
          <w:sz w:val="21"/>
        </w:rPr>
        <w:t xml:space="preserve"> DNA </w:t>
      </w:r>
      <w:r>
        <w:rPr>
          <w:rFonts w:ascii="宋体" w:hAnsi="宋体" w:cs="宋体"/>
          <w:color w:val="000000"/>
          <w:spacing w:val="0"/>
          <w:sz w:val="21"/>
        </w:rPr>
        <w:t>的粗提取</w:t>
      </w:r>
    </w:p>
    <w:p w14:paraId="6E66C99E">
      <w:pPr>
        <w:spacing w:before="402" w:after="0" w:line="220" w:lineRule="exact"/>
        <w:ind w:left="825" w:right="0" w:firstLine="0"/>
        <w:jc w:val="left"/>
        <w:rPr>
          <w:rFonts w:ascii="Times New Roman"/>
          <w:color w:val="000000"/>
          <w:spacing w:val="0"/>
          <w:sz w:val="21"/>
        </w:rPr>
      </w:pPr>
      <w:r>
        <w:rPr>
          <w:rFonts w:ascii="宋体" w:hAnsi="宋体" w:cs="宋体"/>
          <w:color w:val="000000"/>
          <w:spacing w:val="30"/>
          <w:sz w:val="21"/>
        </w:rPr>
        <w:t>探究酵母菌细胞呼</w:t>
      </w:r>
    </w:p>
    <w:p w14:paraId="5B692683">
      <w:pPr>
        <w:spacing w:before="3"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2749"/>
          <w:sz w:val="21"/>
        </w:rPr>
        <w:t xml:space="preserve"> </w:t>
      </w:r>
      <w:r>
        <w:rPr>
          <w:rFonts w:ascii="宋体" w:hAnsi="宋体" w:cs="宋体"/>
          <w:color w:val="000000"/>
          <w:spacing w:val="0"/>
          <w:sz w:val="21"/>
        </w:rPr>
        <w:t>细胞呼吸产物的产生情况是因变量，温度是无关变量</w:t>
      </w:r>
    </w:p>
    <w:p w14:paraId="3855BC89">
      <w:pPr>
        <w:spacing w:before="3" w:after="0" w:line="220" w:lineRule="exact"/>
        <w:ind w:left="825" w:right="0" w:firstLine="0"/>
        <w:jc w:val="left"/>
        <w:rPr>
          <w:rFonts w:ascii="Times New Roman"/>
          <w:color w:val="000000"/>
          <w:spacing w:val="0"/>
          <w:sz w:val="21"/>
        </w:rPr>
      </w:pPr>
      <w:r>
        <w:rPr>
          <w:rFonts w:ascii="宋体" w:hAnsi="宋体" w:cs="宋体"/>
          <w:color w:val="000000"/>
          <w:spacing w:val="0"/>
          <w:sz w:val="21"/>
        </w:rPr>
        <w:t>吸的方式</w:t>
      </w:r>
    </w:p>
    <w:p w14:paraId="5E7EFF92">
      <w:pPr>
        <w:spacing w:before="403" w:after="0" w:line="233" w:lineRule="exact"/>
        <w:ind w:left="0" w:right="2607" w:firstLine="825"/>
        <w:jc w:val="left"/>
        <w:rPr>
          <w:rFonts w:ascii="Times New Roman"/>
          <w:color w:val="000000"/>
          <w:spacing w:val="0"/>
          <w:sz w:val="21"/>
        </w:rPr>
      </w:pPr>
      <w:r>
        <w:rPr>
          <w:rFonts w:ascii="宋体" w:hAnsi="宋体" w:cs="宋体"/>
          <w:color w:val="000000"/>
          <w:spacing w:val="15"/>
          <w:sz w:val="21"/>
        </w:rPr>
        <w:t>模拟生物体维持</w:t>
      </w:r>
      <w:r>
        <w:rPr>
          <w:rFonts w:ascii="Times New Roman"/>
          <w:color w:val="000000"/>
          <w:spacing w:val="1"/>
          <w:sz w:val="21"/>
        </w:rPr>
        <w:t xml:space="preserve"> </w:t>
      </w:r>
      <w:r>
        <w:rPr>
          <w:rFonts w:ascii="Times New Roman"/>
          <w:color w:val="000000"/>
          <w:spacing w:val="0"/>
          <w:sz w:val="21"/>
        </w:rPr>
        <w:t>pH</w:t>
      </w:r>
      <w:r>
        <w:rPr>
          <w:rFonts w:ascii="Times New Roman"/>
          <w:color w:val="000000"/>
          <w:spacing w:val="175"/>
          <w:sz w:val="21"/>
        </w:rPr>
        <w:t xml:space="preserve"> </w:t>
      </w:r>
      <w:r>
        <w:rPr>
          <w:rFonts w:ascii="宋体" w:hAnsi="宋体" w:cs="宋体"/>
          <w:color w:val="000000"/>
          <w:spacing w:val="0"/>
          <w:sz w:val="21"/>
        </w:rPr>
        <w:t>可设置</w:t>
      </w:r>
      <w:r>
        <w:rPr>
          <w:rFonts w:ascii="Times New Roman"/>
          <w:color w:val="000000"/>
          <w:spacing w:val="-9"/>
          <w:sz w:val="21"/>
        </w:rPr>
        <w:t xml:space="preserve"> </w:t>
      </w:r>
      <w:r>
        <w:rPr>
          <w:rFonts w:ascii="Times New Roman"/>
          <w:color w:val="000000"/>
          <w:spacing w:val="0"/>
          <w:sz w:val="21"/>
        </w:rPr>
        <w:t>HCO</w:t>
      </w:r>
      <w:r>
        <w:rPr>
          <w:rFonts w:ascii="Times New Roman"/>
          <w:color w:val="000000"/>
          <w:spacing w:val="-2"/>
          <w:sz w:val="21"/>
          <w:vertAlign w:val="subscript"/>
        </w:rPr>
        <w:t>3</w:t>
      </w:r>
      <w:r>
        <w:rPr>
          <w:rFonts w:ascii="Times New Roman"/>
          <w:color w:val="000000"/>
          <w:spacing w:val="0"/>
          <w:sz w:val="23"/>
          <w:vertAlign w:val="superscript"/>
        </w:rPr>
        <w:t>-</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CO</w:t>
      </w:r>
      <w:r>
        <w:rPr>
          <w:rFonts w:ascii="Times New Roman"/>
          <w:color w:val="000000"/>
          <w:spacing w:val="0"/>
          <w:sz w:val="21"/>
          <w:vertAlign w:val="subscript"/>
        </w:rPr>
        <w:t>3</w:t>
      </w:r>
      <w:r>
        <w:rPr>
          <w:rFonts w:ascii="Times New Roman"/>
          <w:color w:val="000000"/>
          <w:spacing w:val="-11"/>
          <w:sz w:val="21"/>
          <w:vertAlign w:val="subscript"/>
        </w:rPr>
        <w:t xml:space="preserve"> </w:t>
      </w:r>
      <w:r>
        <w:rPr>
          <w:rFonts w:ascii="宋体" w:hAnsi="宋体" w:cs="宋体"/>
          <w:color w:val="000000"/>
          <w:spacing w:val="0"/>
          <w:sz w:val="21"/>
        </w:rPr>
        <w:t>缓冲液或</w:t>
      </w:r>
      <w:r>
        <w:rPr>
          <w:rFonts w:ascii="Times New Roman"/>
          <w:color w:val="000000"/>
          <w:spacing w:val="-9"/>
          <w:sz w:val="21"/>
        </w:rPr>
        <w:t xml:space="preserve"> </w:t>
      </w:r>
      <w:r>
        <w:rPr>
          <w:rFonts w:ascii="Times New Roman"/>
          <w:color w:val="000000"/>
          <w:spacing w:val="0"/>
          <w:sz w:val="21"/>
        </w:rPr>
        <w:t>HPO</w:t>
      </w:r>
      <w:r>
        <w:rPr>
          <w:rFonts w:ascii="Times New Roman"/>
          <w:color w:val="000000"/>
          <w:spacing w:val="-2"/>
          <w:sz w:val="21"/>
          <w:vertAlign w:val="subscript"/>
        </w:rPr>
        <w:t>4</w:t>
      </w:r>
      <w:r>
        <w:rPr>
          <w:rFonts w:ascii="Times New Roman"/>
          <w:color w:val="000000"/>
          <w:spacing w:val="0"/>
          <w:sz w:val="23"/>
          <w:vertAlign w:val="superscript"/>
        </w:rPr>
        <w:t>2-</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PO</w:t>
      </w:r>
      <w:r>
        <w:rPr>
          <w:rFonts w:ascii="Times New Roman"/>
          <w:color w:val="000000"/>
          <w:spacing w:val="-2"/>
          <w:sz w:val="21"/>
          <w:vertAlign w:val="subscript"/>
        </w:rPr>
        <w:t>4</w:t>
      </w:r>
      <w:r>
        <w:rPr>
          <w:rFonts w:ascii="Times New Roman"/>
          <w:color w:val="000000"/>
          <w:spacing w:val="0"/>
          <w:sz w:val="23"/>
          <w:vertAlign w:val="superscript"/>
        </w:rPr>
        <w:t>-</w:t>
      </w:r>
      <w:r>
        <w:rPr>
          <w:rFonts w:ascii="宋体" w:hAnsi="宋体" w:cs="宋体"/>
          <w:color w:val="000000"/>
          <w:spacing w:val="0"/>
          <w:sz w:val="21"/>
        </w:rPr>
        <w:t xml:space="preserve">缓冲液作为 </w:t>
      </w:r>
      <w:r>
        <w:rPr>
          <w:rFonts w:ascii="Times New Roman"/>
          <w:color w:val="000000"/>
          <w:spacing w:val="0"/>
          <w:sz w:val="21"/>
        </w:rPr>
        <w:t>D</w:t>
      </w:r>
    </w:p>
    <w:p w14:paraId="49DA6CA6">
      <w:pPr>
        <w:spacing w:before="3" w:after="0" w:line="220" w:lineRule="exact"/>
        <w:ind w:left="825" w:right="0" w:firstLine="0"/>
        <w:jc w:val="left"/>
        <w:rPr>
          <w:rFonts w:ascii="Times New Roman"/>
          <w:color w:val="000000"/>
          <w:spacing w:val="0"/>
          <w:sz w:val="21"/>
        </w:rPr>
      </w:pPr>
      <w:r>
        <w:rPr>
          <w:rFonts w:ascii="宋体" w:hAnsi="宋体" w:cs="宋体"/>
          <w:color w:val="000000"/>
          <w:spacing w:val="0"/>
          <w:sz w:val="21"/>
        </w:rPr>
        <w:t>的稳定</w:t>
      </w:r>
      <w:r>
        <w:rPr>
          <w:rFonts w:ascii="Times New Roman"/>
          <w:color w:val="000000"/>
          <w:spacing w:val="1433"/>
          <w:sz w:val="21"/>
        </w:rPr>
        <w:t xml:space="preserve"> </w:t>
      </w:r>
      <w:r>
        <w:rPr>
          <w:rFonts w:ascii="宋体" w:hAnsi="宋体" w:cs="宋体"/>
          <w:color w:val="000000"/>
          <w:spacing w:val="0"/>
          <w:sz w:val="21"/>
        </w:rPr>
        <w:t>对照组</w:t>
      </w:r>
    </w:p>
    <w:p w14:paraId="60C8A889">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A. A</w:t>
      </w:r>
      <w:r>
        <w:rPr>
          <w:rFonts w:ascii="Times New Roman"/>
          <w:color w:val="000000"/>
          <w:spacing w:val="1976"/>
          <w:sz w:val="21"/>
        </w:rPr>
        <w:t xml:space="preserve"> </w:t>
      </w:r>
      <w:r>
        <w:rPr>
          <w:rFonts w:ascii="Times New Roman"/>
          <w:color w:val="000000"/>
          <w:spacing w:val="0"/>
          <w:sz w:val="21"/>
        </w:rPr>
        <w:t>B. B</w:t>
      </w:r>
      <w:r>
        <w:rPr>
          <w:rFonts w:ascii="Times New Roman"/>
          <w:color w:val="000000"/>
          <w:spacing w:val="2000"/>
          <w:sz w:val="21"/>
        </w:rPr>
        <w:t xml:space="preserve"> </w:t>
      </w:r>
      <w:r>
        <w:rPr>
          <w:rFonts w:ascii="Times New Roman"/>
          <w:color w:val="000000"/>
          <w:spacing w:val="0"/>
          <w:sz w:val="21"/>
        </w:rPr>
        <w:t>C. C</w:t>
      </w:r>
      <w:r>
        <w:rPr>
          <w:rFonts w:ascii="Times New Roman"/>
          <w:color w:val="000000"/>
          <w:spacing w:val="1999"/>
          <w:sz w:val="21"/>
        </w:rPr>
        <w:t xml:space="preserve"> </w:t>
      </w:r>
      <w:r>
        <w:rPr>
          <w:rFonts w:ascii="Times New Roman"/>
          <w:color w:val="000000"/>
          <w:spacing w:val="0"/>
          <w:sz w:val="21"/>
        </w:rPr>
        <w:t>D. D</w:t>
      </w:r>
    </w:p>
    <w:p w14:paraId="3D884F8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科研人员将</w:t>
      </w:r>
      <w:r>
        <w:rPr>
          <w:rFonts w:ascii="Times New Roman"/>
          <w:color w:val="000000"/>
          <w:spacing w:val="0"/>
          <w:sz w:val="21"/>
        </w:rPr>
        <w:t xml:space="preserve"> 6 </w:t>
      </w:r>
      <w:r>
        <w:rPr>
          <w:rFonts w:ascii="宋体" w:hAnsi="宋体" w:cs="宋体"/>
          <w:color w:val="000000"/>
          <w:spacing w:val="0"/>
          <w:sz w:val="21"/>
        </w:rPr>
        <w:t>个处于</w:t>
      </w:r>
      <w:r>
        <w:rPr>
          <w:rFonts w:ascii="Times New Roman"/>
          <w:color w:val="000000"/>
          <w:spacing w:val="0"/>
          <w:sz w:val="21"/>
        </w:rPr>
        <w:t xml:space="preserve"> 4 </w:t>
      </w:r>
      <w:r>
        <w:rPr>
          <w:rFonts w:ascii="宋体" w:hAnsi="宋体" w:cs="宋体"/>
          <w:color w:val="000000"/>
          <w:spacing w:val="0"/>
          <w:sz w:val="21"/>
        </w:rPr>
        <w:t>细胞期的恒河猴胚胎融合后，成功培育出了二倍体嵌合体猴。下列叙述正确的是</w:t>
      </w:r>
    </w:p>
    <w:p w14:paraId="777CA37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473"/>
          <w:sz w:val="21"/>
        </w:rPr>
        <w:t xml:space="preserve"> </w:t>
      </w:r>
      <w:r>
        <w:rPr>
          <w:rFonts w:ascii="宋体" w:hAnsi="宋体" w:cs="宋体"/>
          <w:color w:val="000000"/>
          <w:spacing w:val="0"/>
          <w:sz w:val="21"/>
        </w:rPr>
        <w:t>）</w:t>
      </w:r>
    </w:p>
    <w:p w14:paraId="23707B6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该融合胚胎在体外发育成嵌合体猴</w:t>
      </w:r>
    </w:p>
    <w:p w14:paraId="7A5F76E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4 </w:t>
      </w:r>
      <w:r>
        <w:rPr>
          <w:rFonts w:ascii="宋体" w:hAnsi="宋体" w:cs="宋体"/>
          <w:color w:val="000000"/>
          <w:spacing w:val="0"/>
          <w:sz w:val="21"/>
        </w:rPr>
        <w:t>细胞期胚胎细胞具有发育成完整个体的潜能</w:t>
      </w:r>
    </w:p>
    <w:p w14:paraId="4831572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该嵌合体猴的培育过程运用了动物细胞融合技术</w:t>
      </w:r>
    </w:p>
    <w:p w14:paraId="05CCFDB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该嵌合体猴的体细胞中含有</w:t>
      </w:r>
      <w:r>
        <w:rPr>
          <w:rFonts w:ascii="Times New Roman"/>
          <w:color w:val="000000"/>
          <w:spacing w:val="0"/>
          <w:sz w:val="21"/>
        </w:rPr>
        <w:t xml:space="preserve"> 12 </w:t>
      </w:r>
      <w:r>
        <w:rPr>
          <w:rFonts w:ascii="宋体" w:hAnsi="宋体" w:cs="宋体"/>
          <w:color w:val="000000"/>
          <w:spacing w:val="0"/>
          <w:sz w:val="21"/>
        </w:rPr>
        <w:t>个染色体组</w:t>
      </w:r>
    </w:p>
    <w:p w14:paraId="2D4B6D9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将物种</w:t>
      </w:r>
      <w:r>
        <w:rPr>
          <w:rFonts w:ascii="Times New Roman"/>
          <w:color w:val="000000"/>
          <w:spacing w:val="-3"/>
          <w:sz w:val="21"/>
        </w:rPr>
        <w:t xml:space="preserve"> </w:t>
      </w:r>
      <w:r>
        <w:rPr>
          <w:rFonts w:ascii="Times New Roman"/>
          <w:color w:val="000000"/>
          <w:spacing w:val="0"/>
          <w:sz w:val="21"/>
        </w:rPr>
        <w:t>A</w:t>
      </w:r>
      <w:r>
        <w:rPr>
          <w:rFonts w:ascii="Times New Roman"/>
          <w:color w:val="000000"/>
          <w:spacing w:val="-3"/>
          <w:sz w:val="21"/>
        </w:rPr>
        <w:t xml:space="preserve"> </w:t>
      </w:r>
      <w:r>
        <w:rPr>
          <w:rFonts w:ascii="宋体" w:hAnsi="宋体" w:cs="宋体"/>
          <w:color w:val="000000"/>
          <w:spacing w:val="0"/>
          <w:sz w:val="21"/>
        </w:rPr>
        <w:t>的启动子与物种</w:t>
      </w:r>
      <w:r>
        <w:rPr>
          <w:rFonts w:ascii="Times New Roman"/>
          <w:color w:val="000000"/>
          <w:spacing w:val="-3"/>
          <w:sz w:val="21"/>
        </w:rPr>
        <w:t xml:space="preserve"> </w:t>
      </w:r>
      <w:r>
        <w:rPr>
          <w:rFonts w:ascii="Times New Roman"/>
          <w:color w:val="000000"/>
          <w:spacing w:val="0"/>
          <w:sz w:val="21"/>
        </w:rPr>
        <w:t>B</w:t>
      </w:r>
      <w:r>
        <w:rPr>
          <w:rFonts w:ascii="Times New Roman"/>
          <w:color w:val="000000"/>
          <w:spacing w:val="-3"/>
          <w:sz w:val="21"/>
        </w:rPr>
        <w:t xml:space="preserve"> </w:t>
      </w:r>
      <w:r>
        <w:rPr>
          <w:rFonts w:ascii="宋体" w:hAnsi="宋体" w:cs="宋体"/>
          <w:color w:val="000000"/>
          <w:spacing w:val="-1"/>
          <w:sz w:val="21"/>
        </w:rPr>
        <w:t>的生长激素基因编码序列重组，导入到鲤鱼受精卵，获得多条转基因鱼。与</w:t>
      </w:r>
    </w:p>
    <w:p w14:paraId="0B9972C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对照组相比，转基因鱼生长速率加快。下列叙述错误的是（</w:t>
      </w:r>
      <w:r>
        <w:rPr>
          <w:rFonts w:ascii="Times New Roman"/>
          <w:color w:val="000000"/>
          <w:spacing w:val="473"/>
          <w:sz w:val="21"/>
        </w:rPr>
        <w:t xml:space="preserve"> </w:t>
      </w:r>
      <w:r>
        <w:rPr>
          <w:rFonts w:ascii="宋体" w:hAnsi="宋体" w:cs="宋体"/>
          <w:color w:val="000000"/>
          <w:spacing w:val="0"/>
          <w:sz w:val="21"/>
        </w:rPr>
        <w:t>）</w:t>
      </w:r>
    </w:p>
    <w:p w14:paraId="20F6645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来源不同的启动子和基因编码序列可重新组合并表达</w:t>
      </w:r>
    </w:p>
    <w:p w14:paraId="266BA15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不同转基因鱼中重组生长激素基因的表达水平相同</w:t>
      </w:r>
    </w:p>
    <w:p w14:paraId="2DB6965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外源基因整合到染色体</w:t>
      </w:r>
      <w:r>
        <w:rPr>
          <w:rFonts w:ascii="Times New Roman"/>
          <w:color w:val="000000"/>
          <w:spacing w:val="0"/>
          <w:sz w:val="21"/>
        </w:rPr>
        <w:t xml:space="preserve"> DNA </w:t>
      </w:r>
      <w:r>
        <w:rPr>
          <w:rFonts w:ascii="宋体" w:hAnsi="宋体" w:cs="宋体"/>
          <w:color w:val="000000"/>
          <w:spacing w:val="0"/>
          <w:sz w:val="21"/>
        </w:rPr>
        <w:t>上是其在受体细胞中稳定遗传的关键</w:t>
      </w:r>
    </w:p>
    <w:p w14:paraId="2A78DDB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调控启动子活性可验证转基因鱼的生长速率与生长激素基因表达水平的关系</w:t>
      </w:r>
    </w:p>
    <w:p w14:paraId="3C9BFF6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关于过氧化氢酶的叙述，错误的是（</w:t>
      </w:r>
      <w:r>
        <w:rPr>
          <w:rFonts w:ascii="Times New Roman"/>
          <w:color w:val="000000"/>
          <w:spacing w:val="473"/>
          <w:sz w:val="21"/>
        </w:rPr>
        <w:t xml:space="preserve"> </w:t>
      </w:r>
      <w:r>
        <w:rPr>
          <w:rFonts w:ascii="宋体" w:hAnsi="宋体" w:cs="宋体"/>
          <w:color w:val="000000"/>
          <w:spacing w:val="0"/>
          <w:sz w:val="21"/>
        </w:rPr>
        <w:t>）</w:t>
      </w:r>
    </w:p>
    <w:p w14:paraId="302ED50E">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过氧化氢酶可以降低</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分解反应所需的活化能</w:t>
      </w:r>
    </w:p>
    <w:p w14:paraId="7CC4B867">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若用过氧化氢酶探究温度对酶活性的影响，应设置不加酶的对照组</w:t>
      </w:r>
    </w:p>
    <w:p w14:paraId="3A71CEE4">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持续升高</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浓度不一定加快过氧化氢酶的酶促反应速率</w:t>
      </w:r>
    </w:p>
    <w:p w14:paraId="603109C8">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过氧化氢酶活性随</w:t>
      </w:r>
      <w:r>
        <w:rPr>
          <w:rFonts w:ascii="Times New Roman"/>
          <w:color w:val="000000"/>
          <w:spacing w:val="0"/>
          <w:sz w:val="21"/>
        </w:rPr>
        <w:t xml:space="preserve"> pH </w:t>
      </w:r>
      <w:r>
        <w:rPr>
          <w:rFonts w:ascii="宋体" w:hAnsi="宋体" w:cs="宋体"/>
          <w:color w:val="000000"/>
          <w:spacing w:val="0"/>
          <w:sz w:val="21"/>
        </w:rPr>
        <w:t>降低而降低，随</w:t>
      </w:r>
      <w:r>
        <w:rPr>
          <w:rFonts w:ascii="Times New Roman"/>
          <w:color w:val="000000"/>
          <w:spacing w:val="0"/>
          <w:sz w:val="21"/>
        </w:rPr>
        <w:t xml:space="preserve"> pH </w:t>
      </w:r>
      <w:r>
        <w:rPr>
          <w:rFonts w:ascii="宋体" w:hAnsi="宋体" w:cs="宋体"/>
          <w:color w:val="000000"/>
          <w:spacing w:val="0"/>
          <w:sz w:val="21"/>
        </w:rPr>
        <w:t>升高而升高</w:t>
      </w:r>
    </w:p>
    <w:p w14:paraId="1A0357C2">
      <w:pPr>
        <w:spacing w:before="195" w:after="0" w:line="265"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土壤中</w:t>
      </w:r>
      <w:r>
        <w:rPr>
          <w:rFonts w:ascii="Times New Roman"/>
          <w:color w:val="000000"/>
          <w:spacing w:val="-4"/>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PO</w:t>
      </w:r>
      <w:r>
        <w:rPr>
          <w:rFonts w:ascii="Times New Roman"/>
          <w:color w:val="000000"/>
          <w:spacing w:val="-2"/>
          <w:sz w:val="21"/>
          <w:vertAlign w:val="subscript"/>
        </w:rPr>
        <w:t>4</w:t>
      </w:r>
      <w:r>
        <w:rPr>
          <w:rFonts w:ascii="Times New Roman"/>
          <w:color w:val="000000"/>
          <w:spacing w:val="0"/>
          <w:sz w:val="23"/>
          <w:vertAlign w:val="superscript"/>
        </w:rPr>
        <w:t>-</w:t>
      </w:r>
      <w:r>
        <w:rPr>
          <w:rFonts w:ascii="宋体" w:hAnsi="宋体" w:cs="宋体"/>
          <w:color w:val="000000"/>
          <w:spacing w:val="-1"/>
          <w:sz w:val="21"/>
        </w:rPr>
        <w:t>的浓度通常远低于其在根毛细胞液中的浓度。植物对</w:t>
      </w:r>
      <w:r>
        <w:rPr>
          <w:rFonts w:ascii="Times New Roman"/>
          <w:color w:val="000000"/>
          <w:spacing w:val="-3"/>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PO</w:t>
      </w:r>
      <w:r>
        <w:rPr>
          <w:rFonts w:ascii="Times New Roman"/>
          <w:color w:val="000000"/>
          <w:spacing w:val="-2"/>
          <w:sz w:val="21"/>
          <w:vertAlign w:val="subscript"/>
        </w:rPr>
        <w:t>4</w:t>
      </w:r>
      <w:r>
        <w:rPr>
          <w:rFonts w:ascii="Times New Roman"/>
          <w:color w:val="000000"/>
          <w:spacing w:val="0"/>
          <w:sz w:val="23"/>
          <w:vertAlign w:val="superscript"/>
        </w:rPr>
        <w:t>-</w:t>
      </w:r>
      <w:r>
        <w:rPr>
          <w:rFonts w:ascii="宋体" w:hAnsi="宋体" w:cs="宋体"/>
          <w:color w:val="000000"/>
          <w:spacing w:val="0"/>
          <w:sz w:val="21"/>
        </w:rPr>
        <w:t>的吸收主要通过细胞膜上能同</w:t>
      </w:r>
    </w:p>
    <w:p w14:paraId="0713B5F3">
      <w:pPr>
        <w:spacing w:before="35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4010349C">
      <w:pPr>
        <w:spacing w:before="0" w:after="0" w:line="0" w:lineRule="exact"/>
        <w:ind w:left="0" w:right="0" w:firstLine="0"/>
        <w:jc w:val="left"/>
        <w:rPr>
          <w:rFonts w:ascii="Arial"/>
          <w:color w:val="FF0000"/>
          <w:spacing w:val="0"/>
          <w:sz w:val="2"/>
        </w:rPr>
      </w:pPr>
    </w:p>
    <w:p w14:paraId="02E50D11">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B574259">
      <w:pPr>
        <w:sectPr>
          <w:pgSz w:w="11900" w:h="16840"/>
          <w:pgMar w:top="1542" w:right="100" w:bottom="0" w:left="1080" w:header="720" w:footer="720" w:gutter="0"/>
          <w:pgNumType w:start="1"/>
          <w:cols w:space="720" w:num="1"/>
          <w:docGrid w:linePitch="1" w:charSpace="0"/>
        </w:sectPr>
      </w:pPr>
    </w:p>
    <w:p w14:paraId="16C8E31F">
      <w:pPr>
        <w:spacing w:before="0" w:after="0" w:line="0" w:lineRule="exact"/>
        <w:ind w:left="0" w:right="0" w:firstLine="0"/>
        <w:jc w:val="left"/>
        <w:rPr>
          <w:rFonts w:ascii="Arial"/>
          <w:color w:val="FF0000"/>
          <w:spacing w:val="0"/>
          <w:sz w:val="2"/>
        </w:rPr>
      </w:pPr>
    </w:p>
    <w:p w14:paraId="2FA62E8E">
      <w:pPr>
        <w:spacing w:before="0" w:after="0" w:line="265" w:lineRule="exact"/>
        <w:ind w:left="0" w:right="0" w:firstLine="0"/>
        <w:jc w:val="left"/>
        <w:rPr>
          <w:rFonts w:ascii="Times New Roman"/>
          <w:color w:val="000000"/>
          <w:spacing w:val="0"/>
          <w:sz w:val="21"/>
        </w:rPr>
      </w:pPr>
      <w:r>
        <w:pict>
          <v:shape id="_x00009" o:spid="_x0000_s1035"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0" o:spid="_x0000_s1036"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1" o:spid="_x0000_s1037"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2" o:spid="_x0000_s1038" o:spt="75" type="#_x0000_t75" style="position:absolute;left:0pt;margin-left:53pt;margin-top:398.25pt;height:68.8pt;width:263.85pt;mso-position-horizontal-relative:page;mso-position-vertical-relative:page;z-index:-251657216;mso-width-relative:page;mso-height-relative:page;" filled="f" coordsize="21600,21600">
            <v:path/>
            <v:fill on="f" focussize="0,0"/>
            <v:stroke/>
            <v:imagedata r:id="rId18" o:title=""/>
            <o:lock v:ext="edit" aspectratio="t"/>
          </v:shape>
        </w:pict>
      </w:r>
      <w:r>
        <w:rPr>
          <w:rFonts w:ascii="宋体" w:hAnsi="宋体" w:cs="宋体"/>
          <w:color w:val="000000"/>
          <w:spacing w:val="0"/>
          <w:sz w:val="21"/>
        </w:rPr>
        <w:t>时转运</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PO</w:t>
      </w:r>
      <w:r>
        <w:rPr>
          <w:rFonts w:ascii="Times New Roman"/>
          <w:color w:val="000000"/>
          <w:spacing w:val="-2"/>
          <w:sz w:val="21"/>
          <w:vertAlign w:val="subscript"/>
        </w:rPr>
        <w:t>4</w:t>
      </w:r>
      <w:r>
        <w:rPr>
          <w:rFonts w:ascii="Times New Roman"/>
          <w:color w:val="000000"/>
          <w:spacing w:val="0"/>
          <w:sz w:val="23"/>
          <w:vertAlign w:val="superscript"/>
        </w:rPr>
        <w:t>-</w:t>
      </w:r>
      <w:r>
        <w:rPr>
          <w:rFonts w:ascii="宋体" w:hAnsi="宋体" w:cs="宋体"/>
          <w:color w:val="000000"/>
          <w:spacing w:val="0"/>
          <w:sz w:val="21"/>
        </w:rPr>
        <w:t>和</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的载体蛋白，该过程由</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的跨膜浓度梯度驱动。下列叙述错误的是（</w:t>
      </w:r>
      <w:r>
        <w:rPr>
          <w:rFonts w:ascii="Times New Roman"/>
          <w:color w:val="000000"/>
          <w:spacing w:val="473"/>
          <w:sz w:val="21"/>
        </w:rPr>
        <w:t xml:space="preserve"> </w:t>
      </w:r>
      <w:r>
        <w:rPr>
          <w:rFonts w:ascii="宋体" w:hAnsi="宋体" w:cs="宋体"/>
          <w:color w:val="000000"/>
          <w:spacing w:val="0"/>
          <w:sz w:val="21"/>
        </w:rPr>
        <w:t>）</w:t>
      </w:r>
    </w:p>
    <w:p w14:paraId="111BB2AF">
      <w:pPr>
        <w:spacing w:before="195" w:after="0" w:line="251"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该载体蛋白转运</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时，</w:t>
      </w:r>
      <w:r>
        <w:rPr>
          <w:rFonts w:ascii="Times New Roman"/>
          <w:color w:val="000000"/>
          <w:spacing w:val="0"/>
          <w:sz w:val="21"/>
        </w:rPr>
        <w:t>H</w:t>
      </w:r>
      <w:r>
        <w:rPr>
          <w:rFonts w:ascii="Times New Roman"/>
          <w:color w:val="000000"/>
          <w:spacing w:val="0"/>
          <w:sz w:val="15"/>
        </w:rPr>
        <w:t>+</w:t>
      </w:r>
      <w:r>
        <w:rPr>
          <w:rFonts w:ascii="宋体" w:hAnsi="宋体" w:cs="宋体"/>
          <w:color w:val="000000"/>
          <w:spacing w:val="0"/>
          <w:sz w:val="21"/>
        </w:rPr>
        <w:t>不需要与载体蛋白结合</w:t>
      </w:r>
    </w:p>
    <w:p w14:paraId="53716555">
      <w:pPr>
        <w:spacing w:before="195" w:after="0" w:line="265"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该载体蛋白对</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PO</w:t>
      </w:r>
      <w:r>
        <w:rPr>
          <w:rFonts w:ascii="Times New Roman"/>
          <w:color w:val="000000"/>
          <w:spacing w:val="-2"/>
          <w:sz w:val="21"/>
          <w:vertAlign w:val="subscript"/>
        </w:rPr>
        <w:t>4</w:t>
      </w:r>
      <w:r>
        <w:rPr>
          <w:rFonts w:ascii="Times New Roman"/>
          <w:color w:val="000000"/>
          <w:spacing w:val="0"/>
          <w:sz w:val="23"/>
          <w:vertAlign w:val="superscript"/>
        </w:rPr>
        <w:t>-</w:t>
      </w:r>
      <w:r>
        <w:rPr>
          <w:rFonts w:ascii="宋体" w:hAnsi="宋体" w:cs="宋体"/>
          <w:color w:val="000000"/>
          <w:spacing w:val="0"/>
          <w:sz w:val="21"/>
        </w:rPr>
        <w:t>的运输属于主动运输</w:t>
      </w:r>
    </w:p>
    <w:p w14:paraId="3ADFAA22">
      <w:pPr>
        <w:spacing w:before="181" w:after="0" w:line="265"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抑制细胞呼吸，根毛细胞吸收</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PO</w:t>
      </w:r>
      <w:r>
        <w:rPr>
          <w:rFonts w:ascii="Times New Roman"/>
          <w:color w:val="000000"/>
          <w:spacing w:val="-2"/>
          <w:sz w:val="21"/>
          <w:vertAlign w:val="subscript"/>
        </w:rPr>
        <w:t>4</w:t>
      </w:r>
      <w:r>
        <w:rPr>
          <w:rFonts w:ascii="Times New Roman"/>
          <w:color w:val="000000"/>
          <w:spacing w:val="0"/>
          <w:sz w:val="23"/>
          <w:vertAlign w:val="superscript"/>
        </w:rPr>
        <w:t>-</w:t>
      </w:r>
      <w:r>
        <w:rPr>
          <w:rFonts w:ascii="宋体" w:hAnsi="宋体" w:cs="宋体"/>
          <w:color w:val="000000"/>
          <w:spacing w:val="0"/>
          <w:sz w:val="21"/>
        </w:rPr>
        <w:t>的速率会降低</w:t>
      </w:r>
    </w:p>
    <w:p w14:paraId="5670D572">
      <w:pPr>
        <w:spacing w:before="181" w:after="0" w:line="265"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该载体蛋白每次转运</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PO</w:t>
      </w:r>
      <w:r>
        <w:rPr>
          <w:rFonts w:ascii="Times New Roman"/>
          <w:color w:val="000000"/>
          <w:spacing w:val="-2"/>
          <w:sz w:val="21"/>
          <w:vertAlign w:val="subscript"/>
        </w:rPr>
        <w:t>4</w:t>
      </w:r>
      <w:r>
        <w:rPr>
          <w:rFonts w:ascii="Times New Roman"/>
          <w:color w:val="000000"/>
          <w:spacing w:val="0"/>
          <w:sz w:val="23"/>
          <w:vertAlign w:val="superscript"/>
        </w:rPr>
        <w:t>-</w:t>
      </w:r>
      <w:r>
        <w:rPr>
          <w:rFonts w:ascii="宋体" w:hAnsi="宋体" w:cs="宋体"/>
          <w:color w:val="000000"/>
          <w:spacing w:val="0"/>
          <w:sz w:val="21"/>
        </w:rPr>
        <w:t>都会发生自身构象改变</w:t>
      </w:r>
    </w:p>
    <w:p w14:paraId="4937DD0F">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马达加斯加有</w:t>
      </w:r>
      <w:r>
        <w:rPr>
          <w:rFonts w:ascii="Times New Roman"/>
          <w:color w:val="000000"/>
          <w:spacing w:val="-2"/>
          <w:sz w:val="21"/>
        </w:rPr>
        <w:t xml:space="preserve"> </w:t>
      </w:r>
      <w:r>
        <w:rPr>
          <w:rFonts w:ascii="Times New Roman"/>
          <w:color w:val="000000"/>
          <w:spacing w:val="0"/>
          <w:sz w:val="21"/>
        </w:rPr>
        <w:t>6</w:t>
      </w:r>
      <w:r>
        <w:rPr>
          <w:rFonts w:ascii="Times New Roman"/>
          <w:color w:val="000000"/>
          <w:spacing w:val="-2"/>
          <w:sz w:val="21"/>
        </w:rPr>
        <w:t xml:space="preserve"> </w:t>
      </w:r>
      <w:r>
        <w:rPr>
          <w:rFonts w:ascii="宋体" w:hAnsi="宋体" w:cs="宋体"/>
          <w:color w:val="000000"/>
          <w:spacing w:val="-1"/>
          <w:sz w:val="21"/>
        </w:rPr>
        <w:t>种猴面包树，其中</w:t>
      </w:r>
      <w:r>
        <w:rPr>
          <w:rFonts w:ascii="Times New Roman"/>
          <w:color w:val="000000"/>
          <w:spacing w:val="-1"/>
          <w:sz w:val="21"/>
        </w:rPr>
        <w:t xml:space="preserve"> </w:t>
      </w:r>
      <w:r>
        <w:rPr>
          <w:rFonts w:ascii="Times New Roman"/>
          <w:color w:val="000000"/>
          <w:spacing w:val="0"/>
          <w:sz w:val="21"/>
        </w:rPr>
        <w:t xml:space="preserve">Adansonia </w:t>
      </w:r>
      <w:r>
        <w:rPr>
          <w:rFonts w:ascii="Times New Roman"/>
          <w:color w:val="000000"/>
          <w:spacing w:val="-4"/>
          <w:sz w:val="21"/>
        </w:rPr>
        <w:t>za</w:t>
      </w:r>
      <w:r>
        <w:rPr>
          <w:rFonts w:ascii="宋体" w:hAnsi="宋体" w:cs="宋体"/>
          <w:color w:val="000000"/>
          <w:spacing w:val="0"/>
          <w:sz w:val="21"/>
        </w:rPr>
        <w:t>（</w:t>
      </w:r>
      <w:r>
        <w:rPr>
          <w:rFonts w:ascii="Times New Roman"/>
          <w:color w:val="000000"/>
          <w:spacing w:val="0"/>
          <w:sz w:val="21"/>
        </w:rPr>
        <w:t>Az</w:t>
      </w:r>
      <w:r>
        <w:rPr>
          <w:rFonts w:ascii="宋体" w:hAnsi="宋体" w:cs="宋体"/>
          <w:color w:val="000000"/>
          <w:spacing w:val="-1"/>
          <w:sz w:val="21"/>
        </w:rPr>
        <w:t>）的生态位最宽，且分布区与其他猴面包树物种重</w:t>
      </w:r>
    </w:p>
    <w:p w14:paraId="62D4633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叠。下列叙述正确的是（</w:t>
      </w:r>
      <w:r>
        <w:rPr>
          <w:rFonts w:ascii="Times New Roman"/>
          <w:color w:val="000000"/>
          <w:spacing w:val="473"/>
          <w:sz w:val="21"/>
        </w:rPr>
        <w:t xml:space="preserve"> </w:t>
      </w:r>
      <w:r>
        <w:rPr>
          <w:rFonts w:ascii="宋体" w:hAnsi="宋体" w:cs="宋体"/>
          <w:color w:val="000000"/>
          <w:spacing w:val="0"/>
          <w:sz w:val="21"/>
        </w:rPr>
        <w:t>）</w:t>
      </w:r>
    </w:p>
    <w:p w14:paraId="4316AFB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猴面包树中</w:t>
      </w:r>
      <w:r>
        <w:rPr>
          <w:rFonts w:ascii="Times New Roman"/>
          <w:color w:val="000000"/>
          <w:spacing w:val="0"/>
          <w:sz w:val="21"/>
        </w:rPr>
        <w:t xml:space="preserve"> Az </w:t>
      </w:r>
      <w:r>
        <w:rPr>
          <w:rFonts w:ascii="宋体" w:hAnsi="宋体" w:cs="宋体"/>
          <w:color w:val="000000"/>
          <w:spacing w:val="0"/>
          <w:sz w:val="21"/>
        </w:rPr>
        <w:t>占据优势地位，种群数量最大</w:t>
      </w:r>
    </w:p>
    <w:p w14:paraId="6D28025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与</w:t>
      </w:r>
      <w:r>
        <w:rPr>
          <w:rFonts w:ascii="Times New Roman"/>
          <w:color w:val="000000"/>
          <w:spacing w:val="0"/>
          <w:sz w:val="21"/>
        </w:rPr>
        <w:t xml:space="preserve"> Az </w:t>
      </w:r>
      <w:r>
        <w:rPr>
          <w:rFonts w:ascii="宋体" w:hAnsi="宋体" w:cs="宋体"/>
          <w:color w:val="000000"/>
          <w:spacing w:val="0"/>
          <w:sz w:val="21"/>
        </w:rPr>
        <w:t>存在较大生态位重叠的其他物种会被</w:t>
      </w:r>
      <w:r>
        <w:rPr>
          <w:rFonts w:ascii="Times New Roman"/>
          <w:color w:val="000000"/>
          <w:spacing w:val="0"/>
          <w:sz w:val="21"/>
        </w:rPr>
        <w:t xml:space="preserve"> Az </w:t>
      </w:r>
      <w:r>
        <w:rPr>
          <w:rFonts w:ascii="宋体" w:hAnsi="宋体" w:cs="宋体"/>
          <w:color w:val="000000"/>
          <w:spacing w:val="0"/>
          <w:sz w:val="21"/>
        </w:rPr>
        <w:t>淘汰</w:t>
      </w:r>
    </w:p>
    <w:p w14:paraId="6E9F401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猴面包树种间生态位分化不只是物种间相互作用的结果</w:t>
      </w:r>
    </w:p>
    <w:p w14:paraId="7AE7152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生态位不重叠的两个物种无种间竞争，生态位重叠越大种间竞争越大</w:t>
      </w:r>
    </w:p>
    <w:p w14:paraId="3E99D2C3">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8"/>
          <w:sz w:val="21"/>
        </w:rPr>
        <w:t xml:space="preserve"> </w:t>
      </w:r>
      <w:r>
        <w:rPr>
          <w:rFonts w:ascii="宋体" w:hAnsi="宋体" w:cs="宋体"/>
          <w:color w:val="000000"/>
          <w:spacing w:val="0"/>
          <w:sz w:val="21"/>
        </w:rPr>
        <w:t>某</w:t>
      </w:r>
      <w:r>
        <w:rPr>
          <w:rFonts w:ascii="Times New Roman"/>
          <w:color w:val="000000"/>
          <w:spacing w:val="2"/>
          <w:sz w:val="21"/>
        </w:rPr>
        <w:t xml:space="preserve"> </w:t>
      </w:r>
      <w:r>
        <w:rPr>
          <w:rFonts w:ascii="Times New Roman"/>
          <w:color w:val="000000"/>
          <w:spacing w:val="0"/>
          <w:sz w:val="21"/>
        </w:rPr>
        <w:t>miRNA</w:t>
      </w:r>
      <w:r>
        <w:rPr>
          <w:rFonts w:ascii="Times New Roman"/>
          <w:color w:val="000000"/>
          <w:spacing w:val="1"/>
          <w:sz w:val="21"/>
        </w:rPr>
        <w:t xml:space="preserve"> </w:t>
      </w:r>
      <w:r>
        <w:rPr>
          <w:rFonts w:ascii="宋体" w:hAnsi="宋体" w:cs="宋体"/>
          <w:color w:val="000000"/>
          <w:spacing w:val="2"/>
          <w:sz w:val="21"/>
        </w:rPr>
        <w:t>调控水稻种子休眠的机制如图所示。我国科学家发现该</w:t>
      </w:r>
      <w:r>
        <w:rPr>
          <w:rFonts w:ascii="Times New Roman"/>
          <w:color w:val="000000"/>
          <w:spacing w:val="4"/>
          <w:sz w:val="21"/>
        </w:rPr>
        <w:t xml:space="preserve"> </w:t>
      </w:r>
      <w:r>
        <w:rPr>
          <w:rFonts w:ascii="Times New Roman"/>
          <w:color w:val="000000"/>
          <w:spacing w:val="0"/>
          <w:sz w:val="21"/>
        </w:rPr>
        <w:t xml:space="preserve">miRNA </w:t>
      </w:r>
      <w:r>
        <w:rPr>
          <w:rFonts w:ascii="宋体" w:hAnsi="宋体" w:cs="宋体"/>
          <w:color w:val="000000"/>
          <w:spacing w:val="2"/>
          <w:sz w:val="21"/>
        </w:rPr>
        <w:t>缺失突变体水稻的种子中赤</w:t>
      </w:r>
    </w:p>
    <w:p w14:paraId="71E0B2EC">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霉素含量和穗发芽率均低于野生型。穗发芽指作物在成熟期或收获前，种子在穗上萌发的现象。下列叙述</w:t>
      </w:r>
    </w:p>
    <w:p w14:paraId="418679B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错误的是（</w:t>
      </w:r>
      <w:r>
        <w:rPr>
          <w:rFonts w:ascii="Times New Roman"/>
          <w:color w:val="000000"/>
          <w:spacing w:val="473"/>
          <w:sz w:val="21"/>
        </w:rPr>
        <w:t xml:space="preserve"> </w:t>
      </w:r>
      <w:r>
        <w:rPr>
          <w:rFonts w:ascii="宋体" w:hAnsi="宋体" w:cs="宋体"/>
          <w:color w:val="000000"/>
          <w:spacing w:val="0"/>
          <w:sz w:val="21"/>
        </w:rPr>
        <w:t>）</w:t>
      </w:r>
    </w:p>
    <w:p w14:paraId="4F482ADC">
      <w:pPr>
        <w:spacing w:before="1798" w:after="0" w:line="243" w:lineRule="exact"/>
        <w:ind w:left="0" w:right="0" w:firstLine="0"/>
        <w:jc w:val="left"/>
        <w:rPr>
          <w:rFonts w:ascii="Times New Roman"/>
          <w:color w:val="000000"/>
          <w:spacing w:val="0"/>
          <w:sz w:val="21"/>
        </w:rPr>
      </w:pPr>
      <w:r>
        <w:rPr>
          <w:rFonts w:ascii="Times New Roman"/>
          <w:color w:val="000000"/>
          <w:spacing w:val="0"/>
          <w:sz w:val="21"/>
        </w:rPr>
        <w:t xml:space="preserve">A. C </w:t>
      </w:r>
      <w:r>
        <w:rPr>
          <w:rFonts w:ascii="宋体" w:hAnsi="宋体" w:cs="宋体"/>
          <w:color w:val="000000"/>
          <w:spacing w:val="0"/>
          <w:sz w:val="21"/>
        </w:rPr>
        <w:t>蛋白抑制赤霉素在种子中积累</w:t>
      </w:r>
    </w:p>
    <w:p w14:paraId="1405593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赤霉素主要在植物的幼芽、幼根和未成熟种子中合成</w:t>
      </w:r>
    </w:p>
    <w:p w14:paraId="0806440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生产上应尽量选育抗穗发芽的品种</w:t>
      </w:r>
    </w:p>
    <w:p w14:paraId="2FB9A98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该</w:t>
      </w:r>
      <w:r>
        <w:rPr>
          <w:rFonts w:ascii="Times New Roman"/>
          <w:color w:val="000000"/>
          <w:spacing w:val="0"/>
          <w:sz w:val="21"/>
        </w:rPr>
        <w:t xml:space="preserve"> miRNA</w:t>
      </w:r>
      <w:r>
        <w:rPr>
          <w:rFonts w:ascii="Times New Roman"/>
          <w:color w:val="000000"/>
          <w:spacing w:val="1"/>
          <w:sz w:val="21"/>
        </w:rPr>
        <w:t xml:space="preserve"> </w:t>
      </w:r>
      <w:r>
        <w:rPr>
          <w:rFonts w:ascii="宋体" w:hAnsi="宋体" w:cs="宋体"/>
          <w:color w:val="000000"/>
          <w:spacing w:val="0"/>
          <w:sz w:val="21"/>
        </w:rPr>
        <w:t>与</w:t>
      </w:r>
      <w:r>
        <w:rPr>
          <w:rFonts w:ascii="Times New Roman"/>
          <w:color w:val="000000"/>
          <w:spacing w:val="0"/>
          <w:sz w:val="21"/>
        </w:rPr>
        <w:t xml:space="preserve"> C </w:t>
      </w:r>
      <w:r>
        <w:rPr>
          <w:rFonts w:ascii="宋体" w:hAnsi="宋体" w:cs="宋体"/>
          <w:color w:val="000000"/>
          <w:spacing w:val="0"/>
          <w:sz w:val="21"/>
        </w:rPr>
        <w:t>基因的</w:t>
      </w:r>
      <w:r>
        <w:rPr>
          <w:rFonts w:ascii="Times New Roman"/>
          <w:color w:val="000000"/>
          <w:spacing w:val="0"/>
          <w:sz w:val="21"/>
        </w:rPr>
        <w:t xml:space="preserve"> mRNA </w:t>
      </w:r>
      <w:r>
        <w:rPr>
          <w:rFonts w:ascii="宋体" w:hAnsi="宋体" w:cs="宋体"/>
          <w:color w:val="000000"/>
          <w:spacing w:val="0"/>
          <w:sz w:val="21"/>
        </w:rPr>
        <w:t>靶向结合促进种子休眠</w:t>
      </w:r>
    </w:p>
    <w:p w14:paraId="7912EF7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4"/>
          <w:sz w:val="21"/>
        </w:rPr>
        <w:t xml:space="preserve"> </w:t>
      </w:r>
      <w:r>
        <w:rPr>
          <w:rFonts w:ascii="宋体" w:hAnsi="宋体" w:cs="宋体"/>
          <w:color w:val="000000"/>
          <w:spacing w:val="2"/>
          <w:sz w:val="21"/>
        </w:rPr>
        <w:t>血管对收缩血管物质的反应性低时，易出现血压下降。兴趣小组探究了物质</w:t>
      </w:r>
      <w:r>
        <w:rPr>
          <w:rFonts w:ascii="Times New Roman"/>
          <w:color w:val="000000"/>
          <w:spacing w:val="1"/>
          <w:sz w:val="21"/>
        </w:rPr>
        <w:t xml:space="preserve"> </w:t>
      </w:r>
      <w:r>
        <w:rPr>
          <w:rFonts w:ascii="Times New Roman"/>
          <w:color w:val="000000"/>
          <w:spacing w:val="0"/>
          <w:sz w:val="21"/>
        </w:rPr>
        <w:t xml:space="preserve">S </w:t>
      </w:r>
      <w:r>
        <w:rPr>
          <w:rFonts w:ascii="宋体" w:hAnsi="宋体" w:cs="宋体"/>
          <w:color w:val="000000"/>
          <w:spacing w:val="2"/>
          <w:sz w:val="21"/>
        </w:rPr>
        <w:t>和小肠分泌的激素</w:t>
      </w:r>
      <w:r>
        <w:rPr>
          <w:rFonts w:ascii="Times New Roman"/>
          <w:color w:val="000000"/>
          <w:spacing w:val="0"/>
          <w:sz w:val="21"/>
        </w:rPr>
        <w:t xml:space="preserve"> K </w:t>
      </w:r>
      <w:r>
        <w:rPr>
          <w:rFonts w:ascii="宋体" w:hAnsi="宋体" w:cs="宋体"/>
          <w:color w:val="000000"/>
          <w:spacing w:val="0"/>
          <w:sz w:val="21"/>
        </w:rPr>
        <w:t>对</w:t>
      </w:r>
    </w:p>
    <w:p w14:paraId="74904803">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兔离体动脉环（</w:t>
      </w:r>
      <w:r>
        <w:rPr>
          <w:rFonts w:ascii="Times New Roman"/>
          <w:color w:val="000000"/>
          <w:spacing w:val="0"/>
          <w:sz w:val="21"/>
        </w:rPr>
        <w:t>ARs</w:t>
      </w:r>
      <w:r>
        <w:rPr>
          <w:rFonts w:ascii="宋体" w:hAnsi="宋体" w:cs="宋体"/>
          <w:color w:val="000000"/>
          <w:spacing w:val="0"/>
          <w:sz w:val="21"/>
        </w:rPr>
        <w:t>）收缩反应的影响，收缩反应检测前需要给各组添加物质</w:t>
      </w:r>
      <w:r>
        <w:rPr>
          <w:rFonts w:ascii="Times New Roman"/>
          <w:color w:val="000000"/>
          <w:spacing w:val="-1"/>
          <w:sz w:val="21"/>
        </w:rPr>
        <w:t xml:space="preserve"> </w:t>
      </w:r>
      <w:r>
        <w:rPr>
          <w:rFonts w:ascii="Times New Roman"/>
          <w:color w:val="000000"/>
          <w:spacing w:val="0"/>
          <w:sz w:val="21"/>
        </w:rPr>
        <w:t>F</w:t>
      </w:r>
      <w:r>
        <w:rPr>
          <w:rFonts w:ascii="宋体" w:hAnsi="宋体" w:cs="宋体"/>
          <w:color w:val="000000"/>
          <w:spacing w:val="-1"/>
          <w:sz w:val="21"/>
        </w:rPr>
        <w:t>，结果如图所示。下列叙述</w:t>
      </w:r>
    </w:p>
    <w:p w14:paraId="381B0D9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错误的是（</w:t>
      </w:r>
      <w:r>
        <w:rPr>
          <w:rFonts w:ascii="Times New Roman"/>
          <w:color w:val="000000"/>
          <w:spacing w:val="473"/>
          <w:sz w:val="21"/>
        </w:rPr>
        <w:t xml:space="preserve"> </w:t>
      </w:r>
      <w:r>
        <w:rPr>
          <w:rFonts w:ascii="宋体" w:hAnsi="宋体" w:cs="宋体"/>
          <w:color w:val="000000"/>
          <w:spacing w:val="0"/>
          <w:sz w:val="21"/>
        </w:rPr>
        <w:t>）</w:t>
      </w:r>
    </w:p>
    <w:p w14:paraId="4988FDD0">
      <w:pPr>
        <w:spacing w:before="277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1FDFC1B3">
      <w:pPr>
        <w:spacing w:before="0" w:after="0" w:line="0" w:lineRule="exact"/>
        <w:ind w:left="0" w:right="0" w:firstLine="0"/>
        <w:jc w:val="left"/>
        <w:rPr>
          <w:rFonts w:ascii="Arial"/>
          <w:color w:val="FF0000"/>
          <w:spacing w:val="0"/>
          <w:sz w:val="2"/>
        </w:rPr>
      </w:pPr>
    </w:p>
    <w:p w14:paraId="13504101">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537029B">
      <w:pPr>
        <w:sectPr>
          <w:pgSz w:w="11900" w:h="16840"/>
          <w:pgMar w:top="1431" w:right="100" w:bottom="0" w:left="1080" w:header="720" w:footer="720" w:gutter="0"/>
          <w:pgNumType w:start="1"/>
          <w:cols w:space="720" w:num="1"/>
          <w:docGrid w:linePitch="1" w:charSpace="0"/>
        </w:sectPr>
      </w:pPr>
    </w:p>
    <w:p w14:paraId="3F40A235">
      <w:pPr>
        <w:spacing w:before="0" w:after="0" w:line="0" w:lineRule="exact"/>
        <w:ind w:left="0" w:right="0" w:firstLine="0"/>
        <w:jc w:val="left"/>
        <w:rPr>
          <w:rFonts w:ascii="Arial"/>
          <w:color w:val="FF0000"/>
          <w:spacing w:val="0"/>
          <w:sz w:val="2"/>
        </w:rPr>
      </w:pPr>
    </w:p>
    <w:p w14:paraId="27B821E3">
      <w:pPr>
        <w:spacing w:before="0" w:after="0" w:line="220" w:lineRule="exact"/>
        <w:ind w:left="0" w:right="0" w:firstLine="0"/>
        <w:jc w:val="left"/>
        <w:rPr>
          <w:rFonts w:ascii="Times New Roman"/>
          <w:color w:val="000000"/>
          <w:spacing w:val="0"/>
          <w:sz w:val="21"/>
        </w:rPr>
      </w:pPr>
      <w:r>
        <w:pict>
          <v:shape id="_x000013" o:spid="_x0000_s1039"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4" o:spid="_x0000_s1040"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5" o:spid="_x0000_s1041"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6" o:spid="_x0000_s1042" o:spt="75" type="#_x0000_t75" style="position:absolute;left:0pt;margin-left:53pt;margin-top:71.8pt;height:145.35pt;width:315.6pt;mso-position-horizontal-relative:page;mso-position-vertical-relative:page;z-index:-251657216;mso-width-relative:page;mso-height-relative:page;" filled="f" coordsize="21600,21600">
            <v:path/>
            <v:fill on="f" focussize="0,0"/>
            <v:stroke/>
            <v:imagedata r:id="rId19" o:title=""/>
            <o:lock v:ext="edit" aspectratio="t"/>
          </v:shape>
        </w:pict>
      </w:r>
      <w:r>
        <w:pict>
          <v:shape id="_x000017" o:spid="_x0000_s1043" o:spt="75" type="#_x0000_t75" style="position:absolute;left:0pt;margin-left:53pt;margin-top:530.25pt;height:71.05pt;width:149.8pt;mso-position-horizontal-relative:page;mso-position-vertical-relative:page;z-index:-251657216;mso-width-relative:page;mso-height-relative:page;" filled="f" coordsize="21600,21600">
            <v:path/>
            <v:fill on="f" focussize="0,0"/>
            <v:stroke/>
            <v:imagedata r:id="rId20" o:title=""/>
            <o:lock v:ext="edit" aspectratio="t"/>
          </v:shape>
        </w:pict>
      </w:r>
      <w:r>
        <w:rPr>
          <w:rFonts w:ascii="宋体" w:hAnsi="宋体" w:cs="宋体"/>
          <w:color w:val="000000"/>
          <w:spacing w:val="0"/>
          <w:sz w:val="21"/>
        </w:rPr>
        <w:t>注：收缩反应张力大小与收缩反应性正相关。</w:t>
      </w:r>
    </w:p>
    <w:p w14:paraId="3B4A986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F </w:t>
      </w:r>
      <w:r>
        <w:rPr>
          <w:rFonts w:ascii="宋体" w:hAnsi="宋体" w:cs="宋体"/>
          <w:color w:val="000000"/>
          <w:spacing w:val="0"/>
          <w:sz w:val="21"/>
        </w:rPr>
        <w:t>是一种收缩血管物质</w:t>
      </w:r>
    </w:p>
    <w:p w14:paraId="5592861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家兔长时间接触物质</w:t>
      </w:r>
      <w:r>
        <w:rPr>
          <w:rFonts w:ascii="Times New Roman"/>
          <w:color w:val="000000"/>
          <w:spacing w:val="0"/>
          <w:sz w:val="21"/>
        </w:rPr>
        <w:t xml:space="preserve"> S </w:t>
      </w:r>
      <w:r>
        <w:rPr>
          <w:rFonts w:ascii="宋体" w:hAnsi="宋体" w:cs="宋体"/>
          <w:color w:val="000000"/>
          <w:spacing w:val="0"/>
          <w:sz w:val="21"/>
        </w:rPr>
        <w:t>后可能出现低血压</w:t>
      </w:r>
    </w:p>
    <w:p w14:paraId="08D6463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激素</w:t>
      </w:r>
      <w:r>
        <w:rPr>
          <w:rFonts w:ascii="Times New Roman"/>
          <w:color w:val="000000"/>
          <w:spacing w:val="0"/>
          <w:sz w:val="21"/>
        </w:rPr>
        <w:t xml:space="preserve"> K </w:t>
      </w:r>
      <w:r>
        <w:rPr>
          <w:rFonts w:ascii="宋体" w:hAnsi="宋体" w:cs="宋体"/>
          <w:color w:val="000000"/>
          <w:spacing w:val="0"/>
          <w:sz w:val="21"/>
        </w:rPr>
        <w:t>单独使用对离体</w:t>
      </w:r>
      <w:r>
        <w:rPr>
          <w:rFonts w:ascii="Times New Roman"/>
          <w:color w:val="000000"/>
          <w:spacing w:val="0"/>
          <w:sz w:val="21"/>
        </w:rPr>
        <w:t xml:space="preserve"> ARs </w:t>
      </w:r>
      <w:r>
        <w:rPr>
          <w:rFonts w:ascii="宋体" w:hAnsi="宋体" w:cs="宋体"/>
          <w:color w:val="000000"/>
          <w:spacing w:val="0"/>
          <w:sz w:val="21"/>
        </w:rPr>
        <w:t>收缩反应张力无明显影响</w:t>
      </w:r>
    </w:p>
    <w:p w14:paraId="1CAB703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若增强</w:t>
      </w:r>
      <w:r>
        <w:rPr>
          <w:rFonts w:ascii="Times New Roman"/>
          <w:color w:val="000000"/>
          <w:spacing w:val="0"/>
          <w:sz w:val="21"/>
        </w:rPr>
        <w:t xml:space="preserve"> S </w:t>
      </w:r>
      <w:r>
        <w:rPr>
          <w:rFonts w:ascii="宋体" w:hAnsi="宋体" w:cs="宋体"/>
          <w:color w:val="000000"/>
          <w:spacing w:val="0"/>
          <w:sz w:val="21"/>
        </w:rPr>
        <w:t>处理组的激素</w:t>
      </w:r>
      <w:r>
        <w:rPr>
          <w:rFonts w:ascii="Times New Roman"/>
          <w:color w:val="000000"/>
          <w:spacing w:val="0"/>
          <w:sz w:val="21"/>
        </w:rPr>
        <w:t xml:space="preserve"> K </w:t>
      </w:r>
      <w:r>
        <w:rPr>
          <w:rFonts w:ascii="宋体" w:hAnsi="宋体" w:cs="宋体"/>
          <w:color w:val="000000"/>
          <w:spacing w:val="0"/>
          <w:sz w:val="21"/>
        </w:rPr>
        <w:t>受体敏感性，则</w:t>
      </w:r>
      <w:r>
        <w:rPr>
          <w:rFonts w:ascii="Times New Roman"/>
          <w:color w:val="000000"/>
          <w:spacing w:val="0"/>
          <w:sz w:val="21"/>
        </w:rPr>
        <w:t xml:space="preserve"> ARs </w:t>
      </w:r>
      <w:r>
        <w:rPr>
          <w:rFonts w:ascii="宋体" w:hAnsi="宋体" w:cs="宋体"/>
          <w:color w:val="000000"/>
          <w:spacing w:val="0"/>
          <w:sz w:val="21"/>
        </w:rPr>
        <w:t>收缩反应张力上升</w:t>
      </w:r>
    </w:p>
    <w:p w14:paraId="0F47151C">
      <w:pPr>
        <w:spacing w:before="209" w:after="0" w:line="276" w:lineRule="exact"/>
        <w:ind w:left="0" w:right="0" w:firstLine="0"/>
        <w:jc w:val="left"/>
        <w:rPr>
          <w:rFonts w:ascii="Times New Roman"/>
          <w:color w:val="000000"/>
          <w:spacing w:val="0"/>
          <w:sz w:val="24"/>
        </w:rPr>
      </w:pPr>
      <w:r>
        <w:rPr>
          <w:rFonts w:ascii="宋体" w:hAnsi="宋体" w:cs="宋体"/>
          <w:color w:val="000000"/>
          <w:spacing w:val="1"/>
          <w:sz w:val="24"/>
        </w:rPr>
        <w:t>二、选择题：本题共</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2"/>
          <w:sz w:val="24"/>
        </w:rPr>
        <w:t xml:space="preserve"> </w:t>
      </w:r>
      <w:r>
        <w:rPr>
          <w:rFonts w:ascii="宋体" w:hAnsi="宋体" w:cs="宋体"/>
          <w:color w:val="000000"/>
          <w:spacing w:val="1"/>
          <w:sz w:val="24"/>
        </w:rPr>
        <w:t>小题，每小题</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2"/>
          <w:sz w:val="24"/>
        </w:rPr>
        <w:t xml:space="preserve"> </w:t>
      </w:r>
      <w:r>
        <w:rPr>
          <w:rFonts w:ascii="宋体" w:hAnsi="宋体" w:cs="宋体"/>
          <w:color w:val="000000"/>
          <w:spacing w:val="2"/>
          <w:sz w:val="24"/>
        </w:rPr>
        <w:t>分，共</w:t>
      </w:r>
      <w:r>
        <w:rPr>
          <w:rFonts w:ascii="Times New Roman"/>
          <w:color w:val="000000"/>
          <w:spacing w:val="-2"/>
          <w:sz w:val="24"/>
        </w:rPr>
        <w:t xml:space="preserve"> </w:t>
      </w:r>
      <w:r>
        <w:rPr>
          <w:rFonts w:ascii="Times New Roman"/>
          <w:b/>
          <w:color w:val="000000"/>
          <w:spacing w:val="-1"/>
          <w:sz w:val="24"/>
        </w:rPr>
        <w:t xml:space="preserve">16 </w:t>
      </w:r>
      <w:r>
        <w:rPr>
          <w:rFonts w:ascii="宋体" w:hAnsi="宋体" w:cs="宋体"/>
          <w:color w:val="000000"/>
          <w:spacing w:val="1"/>
          <w:sz w:val="24"/>
        </w:rPr>
        <w:t>分。在每小题给出的四个选项中，有一项或</w:t>
      </w:r>
    </w:p>
    <w:p w14:paraId="13042221">
      <w:pPr>
        <w:spacing w:before="192" w:after="0" w:line="276" w:lineRule="exact"/>
        <w:ind w:left="0" w:right="0" w:firstLine="0"/>
        <w:jc w:val="left"/>
        <w:rPr>
          <w:rFonts w:ascii="Times New Roman"/>
          <w:color w:val="000000"/>
          <w:spacing w:val="0"/>
          <w:sz w:val="24"/>
        </w:rPr>
      </w:pPr>
      <w:r>
        <w:rPr>
          <w:rFonts w:ascii="宋体" w:hAnsi="宋体" w:cs="宋体"/>
          <w:color w:val="000000"/>
          <w:spacing w:val="1"/>
          <w:sz w:val="24"/>
        </w:rPr>
        <w:t>多项符合题目要求。全部选对的得</w:t>
      </w:r>
      <w:r>
        <w:rPr>
          <w:rFonts w:ascii="Times New Roman"/>
          <w:color w:val="000000"/>
          <w:spacing w:val="0"/>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1"/>
          <w:sz w:val="24"/>
        </w:rPr>
        <w:t>分，选对但不全的得</w:t>
      </w:r>
      <w:r>
        <w:rPr>
          <w:rFonts w:ascii="Times New Roman"/>
          <w:color w:val="000000"/>
          <w:spacing w:val="0"/>
          <w:sz w:val="24"/>
        </w:rPr>
        <w:t xml:space="preserve"> </w:t>
      </w:r>
      <w:r>
        <w:rPr>
          <w:rFonts w:ascii="Times New Roman"/>
          <w:b/>
          <w:color w:val="000000"/>
          <w:spacing w:val="0"/>
          <w:sz w:val="24"/>
        </w:rPr>
        <w:t>2</w:t>
      </w:r>
      <w:r>
        <w:rPr>
          <w:rFonts w:ascii="Times New Roman"/>
          <w:b/>
          <w:color w:val="000000"/>
          <w:spacing w:val="-1"/>
          <w:sz w:val="24"/>
        </w:rPr>
        <w:t xml:space="preserve"> </w:t>
      </w:r>
      <w:r>
        <w:rPr>
          <w:rFonts w:ascii="宋体" w:hAnsi="宋体" w:cs="宋体"/>
          <w:color w:val="000000"/>
          <w:spacing w:val="1"/>
          <w:sz w:val="24"/>
        </w:rPr>
        <w:t>分，有选错的得</w:t>
      </w:r>
      <w:r>
        <w:rPr>
          <w:rFonts w:ascii="Times New Roman"/>
          <w:color w:val="000000"/>
          <w:spacing w:val="-1"/>
          <w:sz w:val="24"/>
        </w:rPr>
        <w:t xml:space="preserve"> </w:t>
      </w:r>
      <w:r>
        <w:rPr>
          <w:rFonts w:ascii="Times New Roman"/>
          <w:b/>
          <w:color w:val="000000"/>
          <w:spacing w:val="0"/>
          <w:sz w:val="24"/>
        </w:rPr>
        <w:t>0</w:t>
      </w:r>
      <w:r>
        <w:rPr>
          <w:rFonts w:ascii="Times New Roman"/>
          <w:b/>
          <w:color w:val="000000"/>
          <w:spacing w:val="-1"/>
          <w:sz w:val="24"/>
        </w:rPr>
        <w:t xml:space="preserve"> </w:t>
      </w:r>
      <w:r>
        <w:rPr>
          <w:rFonts w:ascii="宋体" w:hAnsi="宋体" w:cs="宋体"/>
          <w:color w:val="000000"/>
          <w:spacing w:val="0"/>
          <w:sz w:val="24"/>
        </w:rPr>
        <w:t>分。</w:t>
      </w:r>
    </w:p>
    <w:p w14:paraId="1EE596A6">
      <w:pPr>
        <w:spacing w:before="209"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科研人员拟筛选耐镉细菌用于生态修复。下列叙述正确的是（</w:t>
      </w:r>
      <w:r>
        <w:rPr>
          <w:rFonts w:ascii="Times New Roman"/>
          <w:color w:val="000000"/>
          <w:spacing w:val="473"/>
          <w:sz w:val="21"/>
        </w:rPr>
        <w:t xml:space="preserve"> </w:t>
      </w:r>
      <w:r>
        <w:rPr>
          <w:rFonts w:ascii="宋体" w:hAnsi="宋体" w:cs="宋体"/>
          <w:color w:val="000000"/>
          <w:spacing w:val="0"/>
          <w:sz w:val="21"/>
        </w:rPr>
        <w:t>）</w:t>
      </w:r>
    </w:p>
    <w:p w14:paraId="6DDD1CE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宜从镉污染的土壤或水体中分离耐镉细菌</w:t>
      </w:r>
    </w:p>
    <w:p w14:paraId="216E6CD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配制培养基时需添加碳源、氮源和无机盐等营养成分</w:t>
      </w:r>
    </w:p>
    <w:p w14:paraId="3DCCD15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含氯化镉的培养基可选择耐镉细菌并鉴定其种属</w:t>
      </w:r>
    </w:p>
    <w:p w14:paraId="148783C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利用稀释涂布平板法计数时，统计的菌落数往往比活菌实际数目多</w:t>
      </w:r>
    </w:p>
    <w:p w14:paraId="7E8C8AE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某黑腹果蝇的体细胞和一个配子的染色体组成见示意图。下列叙述错误的是（</w:t>
      </w:r>
      <w:r>
        <w:rPr>
          <w:rFonts w:ascii="Times New Roman"/>
          <w:color w:val="000000"/>
          <w:spacing w:val="473"/>
          <w:sz w:val="21"/>
        </w:rPr>
        <w:t xml:space="preserve"> </w:t>
      </w:r>
      <w:r>
        <w:rPr>
          <w:rFonts w:ascii="宋体" w:hAnsi="宋体" w:cs="宋体"/>
          <w:color w:val="000000"/>
          <w:spacing w:val="0"/>
          <w:sz w:val="21"/>
        </w:rPr>
        <w:t>）</w:t>
      </w:r>
    </w:p>
    <w:p w14:paraId="2995503E">
      <w:pPr>
        <w:spacing w:before="178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该配子在形成过程中会发生细胞质的不均等分裂</w:t>
      </w:r>
    </w:p>
    <w:p w14:paraId="0EB6C98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该配子在形成过程中发生了基因重组和染色体变异</w:t>
      </w:r>
    </w:p>
    <w:p w14:paraId="28FF1D4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该配子异常的原因是减数分裂Ⅱ中染色体未正常分离</w:t>
      </w:r>
    </w:p>
    <w:p w14:paraId="63AAC1D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果蝇卵原细胞染色体在间期复制后数目为</w:t>
      </w:r>
      <w:r>
        <w:rPr>
          <w:rFonts w:ascii="Times New Roman"/>
          <w:color w:val="000000"/>
          <w:spacing w:val="0"/>
          <w:sz w:val="21"/>
        </w:rPr>
        <w:t xml:space="preserve"> 16 </w:t>
      </w:r>
      <w:r>
        <w:rPr>
          <w:rFonts w:ascii="宋体" w:hAnsi="宋体" w:cs="宋体"/>
          <w:color w:val="000000"/>
          <w:spacing w:val="0"/>
          <w:sz w:val="21"/>
        </w:rPr>
        <w:t>条</w:t>
      </w:r>
    </w:p>
    <w:p w14:paraId="71C1A98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2"/>
          <w:sz w:val="21"/>
        </w:rPr>
        <w:t>国家二级保护物种中华虎凤蝶成虫刚出蛹时，翅膀未展开，不能飞行，其主要生境之一是以草本植物细</w:t>
      </w:r>
    </w:p>
    <w:p w14:paraId="539E4640">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辛（可药用）和芒草为优势种群的高山灌草丛。研究人员建设围栏保护后，中华虎凤蝶、细辛、芒草的数</w:t>
      </w:r>
    </w:p>
    <w:p w14:paraId="0FE0266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量变化如图所示。下列叙述正确的是（</w:t>
      </w:r>
      <w:r>
        <w:rPr>
          <w:rFonts w:ascii="Times New Roman"/>
          <w:color w:val="000000"/>
          <w:spacing w:val="473"/>
          <w:sz w:val="21"/>
        </w:rPr>
        <w:t xml:space="preserve"> </w:t>
      </w:r>
      <w:r>
        <w:rPr>
          <w:rFonts w:ascii="宋体" w:hAnsi="宋体" w:cs="宋体"/>
          <w:color w:val="000000"/>
          <w:spacing w:val="0"/>
          <w:sz w:val="21"/>
        </w:rPr>
        <w:t>）</w:t>
      </w:r>
    </w:p>
    <w:p w14:paraId="4C5B5D9D">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7FCBBF3A">
      <w:pPr>
        <w:spacing w:before="0" w:after="0" w:line="0" w:lineRule="exact"/>
        <w:ind w:left="0" w:right="0" w:firstLine="0"/>
        <w:jc w:val="left"/>
        <w:rPr>
          <w:rFonts w:ascii="Arial"/>
          <w:color w:val="FF0000"/>
          <w:spacing w:val="0"/>
          <w:sz w:val="2"/>
        </w:rPr>
      </w:pPr>
    </w:p>
    <w:p w14:paraId="241A0746">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22DDAA8">
      <w:pPr>
        <w:sectPr>
          <w:pgSz w:w="11900" w:h="16840"/>
          <w:pgMar w:top="4573" w:right="100" w:bottom="0" w:left="1080" w:header="720" w:footer="720" w:gutter="0"/>
          <w:pgNumType w:start="1"/>
          <w:cols w:space="720" w:num="1"/>
          <w:docGrid w:linePitch="1" w:charSpace="0"/>
        </w:sectPr>
      </w:pPr>
    </w:p>
    <w:p w14:paraId="204CDE7C">
      <w:pPr>
        <w:spacing w:before="0" w:after="0" w:line="0" w:lineRule="exact"/>
        <w:ind w:left="0" w:right="0" w:firstLine="0"/>
        <w:jc w:val="left"/>
        <w:rPr>
          <w:rFonts w:ascii="Arial"/>
          <w:color w:val="FF0000"/>
          <w:spacing w:val="0"/>
          <w:sz w:val="2"/>
        </w:rPr>
      </w:pPr>
    </w:p>
    <w:p w14:paraId="7A080771">
      <w:pPr>
        <w:spacing w:before="0" w:after="0" w:line="243" w:lineRule="exact"/>
        <w:ind w:left="0" w:right="0" w:firstLine="0"/>
        <w:jc w:val="left"/>
        <w:rPr>
          <w:rFonts w:ascii="Times New Roman"/>
          <w:color w:val="000000"/>
          <w:spacing w:val="0"/>
          <w:sz w:val="21"/>
        </w:rPr>
      </w:pPr>
      <w:r>
        <w:pict>
          <v:shape id="_x000018" o:spid="_x0000_s1044"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9" o:spid="_x0000_s1045" o:spt="75" type="#_x0000_t75" style="position:absolute;left:0pt;margin-left:53pt;margin-top:414.75pt;height:176.85pt;width:185.1pt;mso-position-horizontal-relative:page;mso-position-vertical-relative:page;z-index:-251657216;mso-width-relative:page;mso-height-relative:page;" filled="f" coordsize="21600,21600">
            <v:path/>
            <v:fill on="f" focussize="0,0"/>
            <v:stroke/>
            <v:imagedata r:id="rId21" o:title=""/>
            <o:lock v:ext="edit" aspectratio="t"/>
          </v:shape>
        </w:pict>
      </w:r>
      <w:r>
        <w:pict>
          <v:shape id="_x000020" o:spid="_x0000_s1046"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1" o:spid="_x0000_s1047" o:spt="75" type="#_x0000_t75" style="position:absolute;left:0pt;margin-left:53pt;margin-top:71.8pt;height:144.6pt;width:269.1pt;mso-position-horizontal-relative:page;mso-position-vertical-relative:page;z-index:-251657216;mso-width-relative:page;mso-height-relative:page;" filled="f" coordsize="21600,21600">
            <v:path/>
            <v:fill on="f" focussize="0,0"/>
            <v:stroke/>
            <v:imagedata r:id="rId22"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可采用样方法估算中华虎凤蝶虫卵、蛹及刚出蛹羽化的成虫的密度</w:t>
      </w:r>
    </w:p>
    <w:p w14:paraId="2B4C68E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与调查细辛和芒草相比，调查该地某灌木的种群密度需缩小样方面积</w:t>
      </w:r>
    </w:p>
    <w:p w14:paraId="2D7E96D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围栏内外同一物种数量变化趋势不同，体现了人类活动对生态系统的影响</w:t>
      </w:r>
    </w:p>
    <w:p w14:paraId="6ED288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若监测到该地细辛和芒草数量明显降低时，应采取及时补种等保护措施</w:t>
      </w:r>
    </w:p>
    <w:p w14:paraId="6732A56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2"/>
          <w:sz w:val="21"/>
        </w:rPr>
        <w:t>某人颈脊髓损伤，失去行走能力。在安装脑脊接口套件后，该患者恢复了自主行走能力。该套件由三个</w:t>
      </w:r>
    </w:p>
    <w:p w14:paraId="53068205">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装置组成，如图所示：装置</w:t>
      </w:r>
      <w:r>
        <w:rPr>
          <w:rFonts w:ascii="Times New Roman"/>
          <w:color w:val="000000"/>
          <w:spacing w:val="-1"/>
          <w:sz w:val="21"/>
        </w:rPr>
        <w:t xml:space="preserve"> </w:t>
      </w:r>
      <w:r>
        <w:rPr>
          <w:rFonts w:ascii="Times New Roman"/>
          <w:color w:val="000000"/>
          <w:spacing w:val="0"/>
          <w:sz w:val="21"/>
        </w:rPr>
        <w:t>1</w:t>
      </w:r>
      <w:r>
        <w:rPr>
          <w:rFonts w:ascii="Times New Roman"/>
          <w:color w:val="000000"/>
          <w:spacing w:val="-3"/>
          <w:sz w:val="21"/>
        </w:rPr>
        <w:t xml:space="preserve"> </w:t>
      </w:r>
      <w:r>
        <w:rPr>
          <w:rFonts w:ascii="宋体" w:hAnsi="宋体" w:cs="宋体"/>
          <w:color w:val="000000"/>
          <w:spacing w:val="-1"/>
          <w:sz w:val="21"/>
        </w:rPr>
        <w:t>安装在大脑皮层中央前回，负责采集信号；装置</w:t>
      </w:r>
      <w:r>
        <w:rPr>
          <w:rFonts w:ascii="Times New Roman"/>
          <w:color w:val="000000"/>
          <w:spacing w:val="-2"/>
          <w:sz w:val="21"/>
        </w:rPr>
        <w:t xml:space="preserve"> </w:t>
      </w:r>
      <w:r>
        <w:rPr>
          <w:rFonts w:ascii="Times New Roman"/>
          <w:color w:val="000000"/>
          <w:spacing w:val="0"/>
          <w:sz w:val="21"/>
        </w:rPr>
        <w:t>2</w:t>
      </w:r>
      <w:r>
        <w:rPr>
          <w:rFonts w:ascii="Times New Roman"/>
          <w:color w:val="000000"/>
          <w:spacing w:val="-3"/>
          <w:sz w:val="21"/>
        </w:rPr>
        <w:t xml:space="preserve"> </w:t>
      </w:r>
      <w:r>
        <w:rPr>
          <w:rFonts w:ascii="宋体" w:hAnsi="宋体" w:cs="宋体"/>
          <w:color w:val="000000"/>
          <w:spacing w:val="-1"/>
          <w:sz w:val="21"/>
        </w:rPr>
        <w:t>穿戴于体外，负责对装置</w:t>
      </w:r>
      <w:r>
        <w:rPr>
          <w:rFonts w:ascii="Times New Roman"/>
          <w:color w:val="000000"/>
          <w:spacing w:val="-2"/>
          <w:sz w:val="21"/>
        </w:rPr>
        <w:t xml:space="preserve"> </w:t>
      </w:r>
      <w:r>
        <w:rPr>
          <w:rFonts w:ascii="Times New Roman"/>
          <w:color w:val="000000"/>
          <w:spacing w:val="0"/>
          <w:sz w:val="21"/>
        </w:rPr>
        <w:t>1</w:t>
      </w:r>
    </w:p>
    <w:p w14:paraId="7658095C">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传来的信息解码并生成控制指令；装置</w:t>
      </w:r>
      <w:r>
        <w:rPr>
          <w:rFonts w:ascii="Times New Roman"/>
          <w:color w:val="000000"/>
          <w:spacing w:val="2"/>
          <w:sz w:val="21"/>
        </w:rPr>
        <w:t xml:space="preserve"> </w:t>
      </w:r>
      <w:r>
        <w:rPr>
          <w:rFonts w:ascii="Times New Roman"/>
          <w:color w:val="000000"/>
          <w:spacing w:val="0"/>
          <w:sz w:val="21"/>
        </w:rPr>
        <w:t xml:space="preserve">3 </w:t>
      </w:r>
      <w:r>
        <w:rPr>
          <w:rFonts w:ascii="宋体" w:hAnsi="宋体" w:cs="宋体"/>
          <w:color w:val="000000"/>
          <w:spacing w:val="2"/>
          <w:sz w:val="21"/>
        </w:rPr>
        <w:t>置于体内脊髓区，负责将装置</w:t>
      </w:r>
      <w:r>
        <w:rPr>
          <w:rFonts w:ascii="Times New Roman"/>
          <w:color w:val="000000"/>
          <w:spacing w:val="1"/>
          <w:sz w:val="21"/>
        </w:rPr>
        <w:t xml:space="preserve"> </w:t>
      </w:r>
      <w:r>
        <w:rPr>
          <w:rFonts w:ascii="Times New Roman"/>
          <w:color w:val="000000"/>
          <w:spacing w:val="0"/>
          <w:sz w:val="21"/>
        </w:rPr>
        <w:t xml:space="preserve">2 </w:t>
      </w:r>
      <w:r>
        <w:rPr>
          <w:rFonts w:ascii="宋体" w:hAnsi="宋体" w:cs="宋体"/>
          <w:color w:val="000000"/>
          <w:spacing w:val="2"/>
          <w:sz w:val="21"/>
        </w:rPr>
        <w:t>的指令转换并传至控制下肢的脊</w:t>
      </w:r>
    </w:p>
    <w:p w14:paraId="39D82BC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髓运动中枢。下列叙述错误的是（</w:t>
      </w:r>
      <w:r>
        <w:rPr>
          <w:rFonts w:ascii="Times New Roman"/>
          <w:color w:val="000000"/>
          <w:spacing w:val="473"/>
          <w:sz w:val="21"/>
        </w:rPr>
        <w:t xml:space="preserve"> </w:t>
      </w:r>
      <w:r>
        <w:rPr>
          <w:rFonts w:ascii="宋体" w:hAnsi="宋体" w:cs="宋体"/>
          <w:color w:val="000000"/>
          <w:spacing w:val="0"/>
          <w:sz w:val="21"/>
        </w:rPr>
        <w:t>）</w:t>
      </w:r>
    </w:p>
    <w:p w14:paraId="721FBE4B">
      <w:pPr>
        <w:spacing w:before="3966" w:after="0" w:line="251"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装置</w:t>
      </w:r>
      <w:r>
        <w:rPr>
          <w:rFonts w:ascii="Times New Roman"/>
          <w:color w:val="000000"/>
          <w:spacing w:val="0"/>
          <w:sz w:val="21"/>
        </w:rPr>
        <w:t xml:space="preserve"> 1 </w:t>
      </w:r>
      <w:r>
        <w:rPr>
          <w:rFonts w:ascii="宋体" w:hAnsi="宋体" w:cs="宋体"/>
          <w:color w:val="000000"/>
          <w:spacing w:val="0"/>
          <w:sz w:val="21"/>
        </w:rPr>
        <w:t>收到的信号与神经元的</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K</w:t>
      </w:r>
      <w:r>
        <w:rPr>
          <w:rFonts w:ascii="Times New Roman"/>
          <w:color w:val="000000"/>
          <w:spacing w:val="0"/>
          <w:sz w:val="15"/>
        </w:rPr>
        <w:t>+</w:t>
      </w:r>
      <w:r>
        <w:rPr>
          <w:rFonts w:ascii="宋体" w:hAnsi="宋体" w:cs="宋体"/>
          <w:color w:val="000000"/>
          <w:spacing w:val="0"/>
          <w:sz w:val="21"/>
        </w:rPr>
        <w:t>跨膜运输有关</w:t>
      </w:r>
    </w:p>
    <w:p w14:paraId="143C9A4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装置</w:t>
      </w:r>
      <w:r>
        <w:rPr>
          <w:rFonts w:ascii="Times New Roman"/>
          <w:color w:val="000000"/>
          <w:spacing w:val="0"/>
          <w:sz w:val="21"/>
        </w:rPr>
        <w:t xml:space="preserve"> 2 </w:t>
      </w:r>
      <w:r>
        <w:rPr>
          <w:rFonts w:ascii="宋体" w:hAnsi="宋体" w:cs="宋体"/>
          <w:color w:val="000000"/>
          <w:spacing w:val="0"/>
          <w:sz w:val="21"/>
        </w:rPr>
        <w:t>和大脑皮层一样，具有随意支配下肢运动的能力</w:t>
      </w:r>
    </w:p>
    <w:p w14:paraId="5428A1D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装置</w:t>
      </w:r>
      <w:r>
        <w:rPr>
          <w:rFonts w:ascii="Times New Roman"/>
          <w:color w:val="000000"/>
          <w:spacing w:val="0"/>
          <w:sz w:val="21"/>
        </w:rPr>
        <w:t xml:space="preserve"> 3 </w:t>
      </w:r>
      <w:r>
        <w:rPr>
          <w:rFonts w:ascii="宋体" w:hAnsi="宋体" w:cs="宋体"/>
          <w:color w:val="000000"/>
          <w:spacing w:val="0"/>
          <w:sz w:val="21"/>
        </w:rPr>
        <w:t>刺激患者自主神经纤维释放电信号控制下肢肌肉收缩</w:t>
      </w:r>
    </w:p>
    <w:p w14:paraId="4A4CE3D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该套件的应用证明大脑可不经反射弧直接支配下肢肌肉</w:t>
      </w:r>
    </w:p>
    <w:p w14:paraId="4A4DEC08">
      <w:pPr>
        <w:spacing w:before="209" w:after="0" w:line="276" w:lineRule="exact"/>
        <w:ind w:left="0" w:right="0" w:firstLine="0"/>
        <w:jc w:val="left"/>
        <w:rPr>
          <w:rFonts w:ascii="Times New Roman"/>
          <w:color w:val="000000"/>
          <w:spacing w:val="0"/>
          <w:sz w:val="24"/>
        </w:rPr>
      </w:pPr>
      <w:r>
        <w:rPr>
          <w:rFonts w:ascii="宋体" w:hAnsi="宋体" w:cs="宋体"/>
          <w:color w:val="000000"/>
          <w:spacing w:val="2"/>
          <w:sz w:val="24"/>
        </w:rPr>
        <w:t>三、非选择题：本题共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60</w:t>
      </w:r>
      <w:r>
        <w:rPr>
          <w:rFonts w:ascii="Times New Roman"/>
          <w:b/>
          <w:color w:val="000000"/>
          <w:spacing w:val="0"/>
          <w:sz w:val="24"/>
        </w:rPr>
        <w:t xml:space="preserve"> </w:t>
      </w:r>
      <w:r>
        <w:rPr>
          <w:rFonts w:ascii="宋体" w:hAnsi="宋体" w:cs="宋体"/>
          <w:color w:val="000000"/>
          <w:spacing w:val="0"/>
          <w:sz w:val="24"/>
        </w:rPr>
        <w:t>分。</w:t>
      </w:r>
    </w:p>
    <w:p w14:paraId="0F2790BE">
      <w:pPr>
        <w:spacing w:before="195" w:after="0" w:line="256"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3"/>
          <w:sz w:val="21"/>
        </w:rPr>
        <w:t>为探究脱落酸（</w:t>
      </w:r>
      <w:r>
        <w:rPr>
          <w:rFonts w:ascii="Times New Roman"/>
          <w:color w:val="000000"/>
          <w:spacing w:val="0"/>
          <w:sz w:val="21"/>
        </w:rPr>
        <w:t>ABA</w:t>
      </w:r>
      <w:r>
        <w:rPr>
          <w:rFonts w:ascii="宋体" w:hAnsi="宋体" w:cs="宋体"/>
          <w:color w:val="000000"/>
          <w:spacing w:val="-4"/>
          <w:sz w:val="21"/>
        </w:rPr>
        <w:t>）对某品种葡萄抗盐碱（</w:t>
      </w:r>
      <w:r>
        <w:rPr>
          <w:rFonts w:ascii="Times New Roman"/>
          <w:color w:val="000000"/>
          <w:spacing w:val="0"/>
          <w:sz w:val="21"/>
        </w:rPr>
        <w:t>200mmol/LNaHCO</w:t>
      </w:r>
      <w:r>
        <w:rPr>
          <w:rFonts w:ascii="Times New Roman"/>
          <w:color w:val="000000"/>
          <w:spacing w:val="-2"/>
          <w:sz w:val="21"/>
          <w:vertAlign w:val="subscript"/>
        </w:rPr>
        <w:t>3</w:t>
      </w:r>
      <w:r>
        <w:rPr>
          <w:rFonts w:ascii="宋体" w:hAnsi="宋体" w:cs="宋体"/>
          <w:color w:val="000000"/>
          <w:spacing w:val="-5"/>
          <w:sz w:val="21"/>
        </w:rPr>
        <w:t>）胁迫的作用，分别用蒸馏水（</w:t>
      </w:r>
      <w:r>
        <w:rPr>
          <w:rFonts w:ascii="Times New Roman"/>
          <w:color w:val="000000"/>
          <w:spacing w:val="0"/>
          <w:sz w:val="21"/>
        </w:rPr>
        <w:t>T1</w:t>
      </w:r>
      <w:r>
        <w:rPr>
          <w:rFonts w:ascii="Times New Roman"/>
          <w:color w:val="000000"/>
          <w:spacing w:val="-5"/>
          <w:sz w:val="21"/>
        </w:rPr>
        <w:t xml:space="preserve"> </w:t>
      </w:r>
      <w:r>
        <w:rPr>
          <w:rFonts w:ascii="宋体" w:hAnsi="宋体" w:cs="宋体"/>
          <w:color w:val="000000"/>
          <w:spacing w:val="-35"/>
          <w:sz w:val="21"/>
        </w:rPr>
        <w:t>组）、</w:t>
      </w:r>
    </w:p>
    <w:p w14:paraId="61D87E26">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NaHCO</w:t>
      </w:r>
      <w:r>
        <w:rPr>
          <w:rFonts w:ascii="Times New Roman"/>
          <w:color w:val="000000"/>
          <w:spacing w:val="-4"/>
          <w:sz w:val="21"/>
          <w:vertAlign w:val="subscript"/>
        </w:rPr>
        <w:t>3</w:t>
      </w:r>
      <w:r>
        <w:rPr>
          <w:rFonts w:ascii="宋体" w:hAnsi="宋体" w:cs="宋体"/>
          <w:color w:val="000000"/>
          <w:spacing w:val="0"/>
          <w:sz w:val="21"/>
        </w:rPr>
        <w:t>（</w:t>
      </w:r>
      <w:r>
        <w:rPr>
          <w:rFonts w:ascii="Times New Roman"/>
          <w:color w:val="000000"/>
          <w:spacing w:val="0"/>
          <w:sz w:val="21"/>
        </w:rPr>
        <w:t>T2</w:t>
      </w:r>
      <w:r>
        <w:rPr>
          <w:rFonts w:ascii="Times New Roman"/>
          <w:color w:val="000000"/>
          <w:spacing w:val="-1"/>
          <w:sz w:val="21"/>
        </w:rPr>
        <w:t xml:space="preserve"> </w:t>
      </w:r>
      <w:r>
        <w:rPr>
          <w:rFonts w:ascii="宋体" w:hAnsi="宋体" w:cs="宋体"/>
          <w:color w:val="000000"/>
          <w:spacing w:val="-35"/>
          <w:sz w:val="21"/>
        </w:rPr>
        <w:t>组）、</w:t>
      </w:r>
      <w:r>
        <w:rPr>
          <w:rFonts w:ascii="Times New Roman"/>
          <w:color w:val="000000"/>
          <w:spacing w:val="0"/>
          <w:sz w:val="21"/>
        </w:rPr>
        <w:t>NaHCO</w:t>
      </w:r>
      <w:r>
        <w:rPr>
          <w:rFonts w:ascii="Times New Roman"/>
          <w:color w:val="000000"/>
          <w:spacing w:val="-2"/>
          <w:sz w:val="21"/>
          <w:vertAlign w:val="subscript"/>
        </w:rPr>
        <w:t>3</w:t>
      </w:r>
      <w:r>
        <w:rPr>
          <w:rFonts w:ascii="Times New Roman"/>
          <w:color w:val="000000"/>
          <w:spacing w:val="0"/>
          <w:sz w:val="21"/>
        </w:rPr>
        <w:t xml:space="preserve">+ABA </w:t>
      </w:r>
      <w:r>
        <w:rPr>
          <w:rFonts w:ascii="宋体" w:hAnsi="宋体" w:cs="宋体"/>
          <w:color w:val="000000"/>
          <w:spacing w:val="0"/>
          <w:sz w:val="21"/>
        </w:rPr>
        <w:t>合成抑制剂（</w:t>
      </w:r>
      <w:r>
        <w:rPr>
          <w:rFonts w:ascii="Times New Roman"/>
          <w:color w:val="000000"/>
          <w:spacing w:val="0"/>
          <w:sz w:val="21"/>
        </w:rPr>
        <w:t xml:space="preserve">T3 </w:t>
      </w:r>
      <w:r>
        <w:rPr>
          <w:rFonts w:ascii="宋体" w:hAnsi="宋体" w:cs="宋体"/>
          <w:color w:val="000000"/>
          <w:spacing w:val="-35"/>
          <w:sz w:val="21"/>
        </w:rPr>
        <w:t>组）、</w:t>
      </w:r>
      <w:r>
        <w:rPr>
          <w:rFonts w:ascii="Times New Roman"/>
          <w:color w:val="000000"/>
          <w:spacing w:val="0"/>
          <w:sz w:val="21"/>
        </w:rPr>
        <w:t>NaHCO</w:t>
      </w:r>
      <w:r>
        <w:rPr>
          <w:rFonts w:ascii="Times New Roman"/>
          <w:color w:val="000000"/>
          <w:spacing w:val="-2"/>
          <w:sz w:val="21"/>
          <w:vertAlign w:val="subscript"/>
        </w:rPr>
        <w:t>3</w:t>
      </w:r>
      <w:r>
        <w:rPr>
          <w:rFonts w:ascii="Times New Roman"/>
          <w:color w:val="000000"/>
          <w:spacing w:val="0"/>
          <w:sz w:val="21"/>
        </w:rPr>
        <w:t>+ABA</w:t>
      </w:r>
      <w:r>
        <w:rPr>
          <w:rFonts w:ascii="宋体" w:hAnsi="宋体" w:cs="宋体"/>
          <w:color w:val="000000"/>
          <w:spacing w:val="0"/>
          <w:sz w:val="21"/>
        </w:rPr>
        <w:t>（</w:t>
      </w:r>
      <w:r>
        <w:rPr>
          <w:rFonts w:ascii="Times New Roman"/>
          <w:color w:val="000000"/>
          <w:spacing w:val="0"/>
          <w:sz w:val="21"/>
        </w:rPr>
        <w:t>T4</w:t>
      </w:r>
      <w:r>
        <w:rPr>
          <w:rFonts w:ascii="Times New Roman"/>
          <w:color w:val="000000"/>
          <w:spacing w:val="-1"/>
          <w:sz w:val="21"/>
        </w:rPr>
        <w:t xml:space="preserve"> </w:t>
      </w:r>
      <w:r>
        <w:rPr>
          <w:rFonts w:ascii="宋体" w:hAnsi="宋体" w:cs="宋体"/>
          <w:color w:val="000000"/>
          <w:spacing w:val="0"/>
          <w:sz w:val="21"/>
        </w:rPr>
        <w:t>组）处理葡萄幼苗，一段时间</w:t>
      </w:r>
    </w:p>
    <w:p w14:paraId="09169004">
      <w:pPr>
        <w:spacing w:before="25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6F31DE8F">
      <w:pPr>
        <w:spacing w:before="0" w:after="0" w:line="0" w:lineRule="exact"/>
        <w:ind w:left="0" w:right="0" w:firstLine="0"/>
        <w:jc w:val="left"/>
        <w:rPr>
          <w:rFonts w:ascii="Arial"/>
          <w:color w:val="FF0000"/>
          <w:spacing w:val="0"/>
          <w:sz w:val="2"/>
        </w:rPr>
      </w:pPr>
    </w:p>
    <w:p w14:paraId="7A40CA8D">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B65152B">
      <w:pPr>
        <w:sectPr>
          <w:pgSz w:w="11900" w:h="16840"/>
          <w:pgMar w:top="4562" w:right="100" w:bottom="0" w:left="1080" w:header="720" w:footer="720" w:gutter="0"/>
          <w:pgNumType w:start="1"/>
          <w:cols w:space="720" w:num="1"/>
          <w:docGrid w:linePitch="1" w:charSpace="0"/>
        </w:sectPr>
      </w:pPr>
    </w:p>
    <w:p w14:paraId="2A55344C">
      <w:pPr>
        <w:spacing w:before="0" w:after="0" w:line="0" w:lineRule="exact"/>
        <w:ind w:left="0" w:right="0" w:firstLine="0"/>
        <w:jc w:val="left"/>
        <w:rPr>
          <w:rFonts w:ascii="Arial"/>
          <w:color w:val="FF0000"/>
          <w:spacing w:val="0"/>
          <w:sz w:val="2"/>
        </w:rPr>
      </w:pPr>
    </w:p>
    <w:p w14:paraId="56E76632">
      <w:pPr>
        <w:spacing w:before="0" w:after="0" w:line="220" w:lineRule="exact"/>
        <w:ind w:left="0" w:right="0" w:firstLine="0"/>
        <w:jc w:val="left"/>
        <w:rPr>
          <w:rFonts w:ascii="Times New Roman"/>
          <w:color w:val="000000"/>
          <w:spacing w:val="0"/>
          <w:sz w:val="21"/>
        </w:rPr>
      </w:pPr>
      <w:r>
        <w:pict>
          <v:shape id="_x000022" o:spid="_x0000_s1048"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23" o:spid="_x0000_s1049"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4" o:spid="_x0000_s1050"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5" o:spid="_x0000_s1051" o:spt="75" type="#_x0000_t75" style="position:absolute;left:0pt;margin-left:47pt;margin-top:88.3pt;height:152.85pt;width:322.35pt;mso-position-horizontal-relative:page;mso-position-vertical-relative:page;z-index:-251657216;mso-width-relative:page;mso-height-relative:page;" filled="f" coordsize="21600,21600">
            <v:path/>
            <v:fill on="f" focussize="0,0"/>
            <v:stroke/>
            <v:imagedata r:id="rId23" o:title=""/>
            <o:lock v:ext="edit" aspectratio="t"/>
          </v:shape>
        </w:pict>
      </w:r>
      <w:r>
        <w:pict>
          <v:shape id="_x000026" o:spid="_x0000_s1052" o:spt="75" type="#_x0000_t75" style="position:absolute;left:0pt;margin-left:47pt;margin-top:613.55pt;height:152.85pt;width:407.85pt;mso-position-horizontal-relative:page;mso-position-vertical-relative:page;z-index:-251657216;mso-width-relative:page;mso-height-relative:page;" filled="f" coordsize="21600,21600">
            <v:path/>
            <v:fill on="f" focussize="0,0"/>
            <v:stroke/>
            <v:imagedata r:id="rId24" o:title=""/>
            <o:lock v:ext="edit" aspectratio="t"/>
          </v:shape>
        </w:pict>
      </w:r>
      <w:r>
        <w:rPr>
          <w:rFonts w:ascii="宋体" w:hAnsi="宋体" w:cs="宋体"/>
          <w:color w:val="000000"/>
          <w:spacing w:val="0"/>
          <w:sz w:val="21"/>
        </w:rPr>
        <w:t>后采集叶片测定相关生理指标，结果见表。回答下列问题：</w:t>
      </w:r>
    </w:p>
    <w:p w14:paraId="04FE97DE">
      <w:pPr>
        <w:spacing w:before="338" w:after="0" w:line="220" w:lineRule="exact"/>
        <w:ind w:left="2473" w:right="0" w:firstLine="0"/>
        <w:jc w:val="left"/>
        <w:rPr>
          <w:rFonts w:ascii="Times New Roman"/>
          <w:color w:val="000000"/>
          <w:spacing w:val="0"/>
          <w:sz w:val="21"/>
        </w:rPr>
      </w:pPr>
      <w:r>
        <w:rPr>
          <w:rFonts w:ascii="宋体" w:hAnsi="宋体" w:cs="宋体"/>
          <w:color w:val="000000"/>
          <w:spacing w:val="0"/>
          <w:sz w:val="21"/>
        </w:rPr>
        <w:t>组别</w:t>
      </w:r>
    </w:p>
    <w:p w14:paraId="5AAC6A94">
      <w:pPr>
        <w:spacing w:before="7" w:after="0" w:line="239" w:lineRule="exact"/>
        <w:ind w:left="0" w:right="4907" w:firstLine="3121"/>
        <w:jc w:val="left"/>
        <w:rPr>
          <w:rFonts w:ascii="Times New Roman"/>
          <w:color w:val="000000"/>
          <w:spacing w:val="0"/>
          <w:sz w:val="21"/>
        </w:rPr>
      </w:pPr>
      <w:r>
        <w:rPr>
          <w:rFonts w:ascii="Times New Roman"/>
          <w:color w:val="000000"/>
          <w:spacing w:val="0"/>
          <w:sz w:val="21"/>
        </w:rPr>
        <w:t>T1</w:t>
      </w:r>
      <w:r>
        <w:rPr>
          <w:rFonts w:ascii="Times New Roman"/>
          <w:color w:val="000000"/>
          <w:spacing w:val="420"/>
          <w:sz w:val="21"/>
        </w:rPr>
        <w:t xml:space="preserve"> </w:t>
      </w:r>
      <w:r>
        <w:rPr>
          <w:rFonts w:ascii="Times New Roman"/>
          <w:color w:val="000000"/>
          <w:spacing w:val="0"/>
          <w:sz w:val="21"/>
        </w:rPr>
        <w:t>T2</w:t>
      </w:r>
      <w:r>
        <w:rPr>
          <w:rFonts w:ascii="Times New Roman"/>
          <w:color w:val="000000"/>
          <w:spacing w:val="570"/>
          <w:sz w:val="21"/>
        </w:rPr>
        <w:t xml:space="preserve"> </w:t>
      </w:r>
      <w:r>
        <w:rPr>
          <w:rFonts w:ascii="Times New Roman"/>
          <w:color w:val="000000"/>
          <w:spacing w:val="0"/>
          <w:sz w:val="21"/>
        </w:rPr>
        <w:t>T3</w:t>
      </w:r>
      <w:r>
        <w:rPr>
          <w:rFonts w:ascii="Times New Roman"/>
          <w:color w:val="000000"/>
          <w:spacing w:val="570"/>
          <w:sz w:val="21"/>
        </w:rPr>
        <w:t xml:space="preserve"> </w:t>
      </w:r>
      <w:r>
        <w:rPr>
          <w:rFonts w:ascii="Times New Roman"/>
          <w:color w:val="000000"/>
          <w:spacing w:val="0"/>
          <w:sz w:val="21"/>
        </w:rPr>
        <w:t xml:space="preserve">T4 </w:t>
      </w:r>
      <w:r>
        <w:rPr>
          <w:rFonts w:ascii="宋体" w:hAnsi="宋体" w:cs="宋体"/>
          <w:color w:val="000000"/>
          <w:spacing w:val="0"/>
          <w:sz w:val="21"/>
        </w:rPr>
        <w:t>指标</w:t>
      </w:r>
    </w:p>
    <w:p w14:paraId="16076E1A">
      <w:pPr>
        <w:spacing w:before="402" w:after="0" w:line="243" w:lineRule="exact"/>
        <w:ind w:left="0" w:right="0" w:firstLine="0"/>
        <w:jc w:val="left"/>
        <w:rPr>
          <w:rFonts w:ascii="Times New Roman"/>
          <w:color w:val="000000"/>
          <w:spacing w:val="0"/>
          <w:sz w:val="21"/>
        </w:rPr>
      </w:pPr>
      <w:r>
        <w:rPr>
          <w:rFonts w:ascii="宋体" w:hAnsi="宋体" w:cs="宋体"/>
          <w:color w:val="000000"/>
          <w:spacing w:val="0"/>
          <w:sz w:val="21"/>
        </w:rPr>
        <w:t>叶绿素含量（</w:t>
      </w:r>
      <w:r>
        <w:rPr>
          <w:rFonts w:ascii="Times New Roman"/>
          <w:color w:val="000000"/>
          <w:spacing w:val="0"/>
          <w:sz w:val="21"/>
        </w:rPr>
        <w:t>mg/g</w:t>
      </w:r>
      <w:r>
        <w:rPr>
          <w:rFonts w:ascii="Times New Roman"/>
          <w:color w:val="000000"/>
          <w:spacing w:val="1"/>
          <w:sz w:val="21"/>
        </w:rPr>
        <w:t xml:space="preserve"> </w:t>
      </w:r>
      <w:r>
        <w:rPr>
          <w:rFonts w:ascii="宋体" w:hAnsi="宋体" w:cs="宋体"/>
          <w:color w:val="000000"/>
          <w:spacing w:val="0"/>
          <w:sz w:val="21"/>
        </w:rPr>
        <w:t>鲜重）</w:t>
      </w:r>
      <w:r>
        <w:rPr>
          <w:rFonts w:ascii="Times New Roman"/>
          <w:color w:val="000000"/>
          <w:spacing w:val="694"/>
          <w:sz w:val="21"/>
        </w:rPr>
        <w:t xml:space="preserve"> </w:t>
      </w:r>
      <w:r>
        <w:rPr>
          <w:rFonts w:ascii="Times New Roman"/>
          <w:color w:val="000000"/>
          <w:spacing w:val="0"/>
          <w:sz w:val="21"/>
        </w:rPr>
        <w:t>3.8</w:t>
      </w:r>
      <w:r>
        <w:rPr>
          <w:rFonts w:ascii="Times New Roman"/>
          <w:color w:val="000000"/>
          <w:spacing w:val="390"/>
          <w:sz w:val="21"/>
        </w:rPr>
        <w:t xml:space="preserve"> </w:t>
      </w:r>
      <w:r>
        <w:rPr>
          <w:rFonts w:ascii="Times New Roman"/>
          <w:color w:val="000000"/>
          <w:spacing w:val="0"/>
          <w:sz w:val="21"/>
        </w:rPr>
        <w:t>2.2</w:t>
      </w:r>
      <w:r>
        <w:rPr>
          <w:rFonts w:ascii="Times New Roman"/>
          <w:color w:val="000000"/>
          <w:spacing w:val="540"/>
          <w:sz w:val="21"/>
        </w:rPr>
        <w:t xml:space="preserve"> </w:t>
      </w:r>
      <w:r>
        <w:rPr>
          <w:rFonts w:ascii="Times New Roman"/>
          <w:color w:val="000000"/>
          <w:spacing w:val="0"/>
          <w:sz w:val="21"/>
        </w:rPr>
        <w:t>1.3</w:t>
      </w:r>
      <w:r>
        <w:rPr>
          <w:rFonts w:ascii="Times New Roman"/>
          <w:color w:val="000000"/>
          <w:spacing w:val="540"/>
          <w:sz w:val="21"/>
        </w:rPr>
        <w:t xml:space="preserve"> </w:t>
      </w:r>
      <w:r>
        <w:rPr>
          <w:rFonts w:ascii="Times New Roman"/>
          <w:color w:val="000000"/>
          <w:spacing w:val="0"/>
          <w:sz w:val="21"/>
        </w:rPr>
        <w:t>2.9</w:t>
      </w:r>
    </w:p>
    <w:p w14:paraId="5A69658F">
      <w:pPr>
        <w:spacing w:before="360" w:after="0" w:line="265" w:lineRule="exact"/>
        <w:ind w:left="0" w:right="0" w:firstLine="0"/>
        <w:jc w:val="left"/>
        <w:rPr>
          <w:rFonts w:ascii="Times New Roman"/>
          <w:color w:val="000000"/>
          <w:spacing w:val="0"/>
          <w:sz w:val="21"/>
        </w:rPr>
      </w:pP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含量（</w:t>
      </w:r>
      <w:r>
        <w:rPr>
          <w:rFonts w:ascii="Times New Roman" w:hAnsi="Times New Roman" w:cs="Times New Roman"/>
          <w:color w:val="000000"/>
          <w:spacing w:val="0"/>
          <w:sz w:val="21"/>
        </w:rPr>
        <w:t>μmol·g</w:t>
      </w:r>
      <w:r>
        <w:rPr>
          <w:rFonts w:ascii="Times New Roman"/>
          <w:color w:val="000000"/>
          <w:spacing w:val="0"/>
          <w:sz w:val="23"/>
          <w:vertAlign w:val="superscript"/>
        </w:rPr>
        <w:t>-1</w:t>
      </w:r>
      <w:r>
        <w:rPr>
          <w:rFonts w:ascii="Times New Roman"/>
          <w:color w:val="000000"/>
          <w:spacing w:val="-5"/>
          <w:sz w:val="23"/>
          <w:vertAlign w:val="superscript"/>
        </w:rPr>
        <w:t xml:space="preserve"> </w:t>
      </w:r>
      <w:r>
        <w:rPr>
          <w:rFonts w:ascii="宋体" w:hAnsi="宋体" w:cs="宋体"/>
          <w:color w:val="000000"/>
          <w:spacing w:val="0"/>
          <w:sz w:val="21"/>
        </w:rPr>
        <w:t>鲜重）</w:t>
      </w:r>
      <w:r>
        <w:rPr>
          <w:rFonts w:ascii="Times New Roman"/>
          <w:color w:val="000000"/>
          <w:spacing w:val="525"/>
          <w:sz w:val="21"/>
        </w:rPr>
        <w:t xml:space="preserve"> </w:t>
      </w:r>
      <w:r>
        <w:rPr>
          <w:rFonts w:ascii="Times New Roman"/>
          <w:color w:val="000000"/>
          <w:spacing w:val="0"/>
          <w:sz w:val="21"/>
        </w:rPr>
        <w:t>9.6</w:t>
      </w:r>
      <w:r>
        <w:rPr>
          <w:rFonts w:ascii="Times New Roman"/>
          <w:color w:val="000000"/>
          <w:spacing w:val="390"/>
          <w:sz w:val="21"/>
        </w:rPr>
        <w:t xml:space="preserve"> </w:t>
      </w:r>
      <w:r>
        <w:rPr>
          <w:rFonts w:ascii="Times New Roman"/>
          <w:color w:val="000000"/>
          <w:spacing w:val="0"/>
          <w:sz w:val="21"/>
        </w:rPr>
        <w:t>20.3</w:t>
      </w:r>
      <w:r>
        <w:rPr>
          <w:rFonts w:ascii="Times New Roman"/>
          <w:color w:val="000000"/>
          <w:spacing w:val="435"/>
          <w:sz w:val="21"/>
        </w:rPr>
        <w:t xml:space="preserve"> </w:t>
      </w:r>
      <w:r>
        <w:rPr>
          <w:rFonts w:ascii="Times New Roman"/>
          <w:color w:val="000000"/>
          <w:spacing w:val="0"/>
          <w:sz w:val="21"/>
        </w:rPr>
        <w:t>29.5</w:t>
      </w:r>
      <w:r>
        <w:rPr>
          <w:rFonts w:ascii="Times New Roman"/>
          <w:color w:val="000000"/>
          <w:spacing w:val="435"/>
          <w:sz w:val="21"/>
        </w:rPr>
        <w:t xml:space="preserve"> </w:t>
      </w:r>
      <w:r>
        <w:rPr>
          <w:rFonts w:ascii="Times New Roman"/>
          <w:color w:val="000000"/>
          <w:spacing w:val="0"/>
          <w:sz w:val="21"/>
        </w:rPr>
        <w:t>14.7</w:t>
      </w:r>
    </w:p>
    <w:p w14:paraId="69A542E9">
      <w:pPr>
        <w:spacing w:before="360" w:after="0" w:line="251" w:lineRule="exact"/>
        <w:ind w:left="0" w:right="0" w:firstLine="0"/>
        <w:jc w:val="left"/>
        <w:rPr>
          <w:rFonts w:ascii="Times New Roman"/>
          <w:color w:val="000000"/>
          <w:spacing w:val="0"/>
          <w:sz w:val="21"/>
        </w:rPr>
      </w:pPr>
      <w:r>
        <w:rPr>
          <w:rFonts w:ascii="宋体" w:hAnsi="宋体" w:cs="宋体"/>
          <w:color w:val="000000"/>
          <w:spacing w:val="0"/>
          <w:sz w:val="21"/>
        </w:rPr>
        <w:t>净光合速率（</w:t>
      </w:r>
      <w:r>
        <w:rPr>
          <w:rFonts w:ascii="Times New Roman" w:hAnsi="Times New Roman" w:cs="Times New Roman"/>
          <w:color w:val="000000"/>
          <w:spacing w:val="0"/>
          <w:sz w:val="21"/>
        </w:rPr>
        <w:t>μmol·m</w:t>
      </w:r>
      <w:r>
        <w:rPr>
          <w:rFonts w:ascii="Times New Roman"/>
          <w:color w:val="000000"/>
          <w:spacing w:val="0"/>
          <w:sz w:val="23"/>
          <w:vertAlign w:val="superscript"/>
        </w:rPr>
        <w:t>-2</w:t>
      </w:r>
      <w:r>
        <w:rPr>
          <w:rFonts w:ascii="Times New Roman" w:hAnsi="Times New Roman" w:cs="Times New Roman"/>
          <w:color w:val="000000"/>
          <w:spacing w:val="0"/>
          <w:sz w:val="21"/>
        </w:rPr>
        <w:t>·s</w:t>
      </w:r>
      <w:r>
        <w:rPr>
          <w:rFonts w:ascii="Times New Roman"/>
          <w:color w:val="000000"/>
          <w:spacing w:val="0"/>
          <w:sz w:val="23"/>
          <w:vertAlign w:val="superscript"/>
        </w:rPr>
        <w:t>-1</w:t>
      </w:r>
      <w:r>
        <w:rPr>
          <w:rFonts w:ascii="宋体" w:hAnsi="宋体" w:cs="宋体"/>
          <w:color w:val="000000"/>
          <w:spacing w:val="0"/>
          <w:sz w:val="21"/>
        </w:rPr>
        <w:t>）</w:t>
      </w:r>
      <w:r>
        <w:rPr>
          <w:rFonts w:ascii="Times New Roman"/>
          <w:color w:val="000000"/>
          <w:spacing w:val="525"/>
          <w:sz w:val="21"/>
        </w:rPr>
        <w:t xml:space="preserve"> </w:t>
      </w:r>
      <w:r>
        <w:rPr>
          <w:rFonts w:ascii="Times New Roman"/>
          <w:color w:val="000000"/>
          <w:spacing w:val="0"/>
          <w:sz w:val="21"/>
        </w:rPr>
        <w:t>9.8</w:t>
      </w:r>
      <w:r>
        <w:rPr>
          <w:rFonts w:ascii="Times New Roman"/>
          <w:color w:val="000000"/>
          <w:spacing w:val="390"/>
          <w:sz w:val="21"/>
        </w:rPr>
        <w:t xml:space="preserve"> </w:t>
      </w:r>
      <w:r>
        <w:rPr>
          <w:rFonts w:ascii="Times New Roman"/>
          <w:color w:val="000000"/>
          <w:spacing w:val="0"/>
          <w:sz w:val="21"/>
        </w:rPr>
        <w:t>6.1</w:t>
      </w:r>
      <w:r>
        <w:rPr>
          <w:rFonts w:ascii="Times New Roman"/>
          <w:color w:val="000000"/>
          <w:spacing w:val="540"/>
          <w:sz w:val="21"/>
        </w:rPr>
        <w:t xml:space="preserve"> </w:t>
      </w:r>
      <w:r>
        <w:rPr>
          <w:rFonts w:ascii="Times New Roman"/>
          <w:color w:val="000000"/>
          <w:spacing w:val="0"/>
          <w:sz w:val="21"/>
        </w:rPr>
        <w:t>4.6</w:t>
      </w:r>
      <w:r>
        <w:rPr>
          <w:rFonts w:ascii="Times New Roman"/>
          <w:color w:val="000000"/>
          <w:spacing w:val="540"/>
          <w:sz w:val="21"/>
        </w:rPr>
        <w:t xml:space="preserve"> </w:t>
      </w:r>
      <w:r>
        <w:rPr>
          <w:rFonts w:ascii="Times New Roman"/>
          <w:color w:val="000000"/>
          <w:spacing w:val="0"/>
          <w:sz w:val="21"/>
        </w:rPr>
        <w:t>7.9</w:t>
      </w:r>
    </w:p>
    <w:p w14:paraId="0A9F08EB">
      <w:pPr>
        <w:spacing w:before="302" w:after="0" w:line="256" w:lineRule="exact"/>
        <w:ind w:left="0" w:right="0" w:firstLine="0"/>
        <w:jc w:val="left"/>
        <w:rPr>
          <w:rFonts w:ascii="Times New Roman"/>
          <w:color w:val="000000"/>
          <w:spacing w:val="0"/>
          <w:sz w:val="21"/>
        </w:rPr>
      </w:pPr>
      <w:r>
        <w:rPr>
          <w:rFonts w:ascii="宋体" w:hAnsi="宋体" w:cs="宋体"/>
          <w:color w:val="000000"/>
          <w:spacing w:val="0"/>
          <w:sz w:val="21"/>
        </w:rPr>
        <w:t>注：</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会引起生物膜发生氧化损伤，膜通透性升高。</w:t>
      </w:r>
    </w:p>
    <w:p w14:paraId="3BE18F4C">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）叶绿素主要吸收可见光中的</w:t>
      </w:r>
      <w:r>
        <w:rPr>
          <w:rFonts w:ascii="Times New Roman"/>
          <w:color w:val="000000"/>
          <w:spacing w:val="0"/>
          <w:sz w:val="21"/>
        </w:rPr>
        <w:t>________</w:t>
      </w:r>
      <w:r>
        <w:rPr>
          <w:rFonts w:ascii="宋体" w:hAnsi="宋体" w:cs="宋体"/>
          <w:color w:val="000000"/>
          <w:spacing w:val="0"/>
          <w:sz w:val="21"/>
        </w:rPr>
        <w:t>，光反应产生的</w:t>
      </w:r>
      <w:r>
        <w:rPr>
          <w:rFonts w:ascii="Times New Roman"/>
          <w:color w:val="000000"/>
          <w:spacing w:val="0"/>
          <w:sz w:val="21"/>
        </w:rPr>
        <w:t xml:space="preserve"> NADPH </w:t>
      </w:r>
      <w:r>
        <w:rPr>
          <w:rFonts w:ascii="宋体" w:hAnsi="宋体" w:cs="宋体"/>
          <w:color w:val="000000"/>
          <w:spacing w:val="0"/>
          <w:sz w:val="21"/>
        </w:rPr>
        <w:t>在暗反应阶段的作用是</w:t>
      </w:r>
      <w:r>
        <w:rPr>
          <w:rFonts w:ascii="Times New Roman"/>
          <w:color w:val="000000"/>
          <w:spacing w:val="0"/>
          <w:sz w:val="21"/>
        </w:rPr>
        <w:t>___________</w:t>
      </w:r>
      <w:r>
        <w:rPr>
          <w:rFonts w:ascii="宋体" w:hAnsi="宋体" w:cs="宋体"/>
          <w:color w:val="000000"/>
          <w:spacing w:val="0"/>
          <w:sz w:val="21"/>
        </w:rPr>
        <w:t>。</w:t>
      </w:r>
    </w:p>
    <w:p w14:paraId="2C0C5A7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）盐碱胁迫下，葡萄幼苗的光合作用速率下降。据表分析，出现该变化的原因是</w:t>
      </w:r>
    </w:p>
    <w:p w14:paraId="56A6DD3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____________________________________________________________________________________________</w:t>
      </w:r>
    </w:p>
    <w:p w14:paraId="69C6098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w:t>
      </w:r>
      <w:r>
        <w:rPr>
          <w:rFonts w:ascii="宋体" w:hAnsi="宋体" w:cs="宋体"/>
          <w:color w:val="000000"/>
          <w:spacing w:val="0"/>
          <w:sz w:val="21"/>
        </w:rPr>
        <w:t>。</w:t>
      </w:r>
    </w:p>
    <w:p w14:paraId="64D35C1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4"/>
          <w:sz w:val="21"/>
        </w:rPr>
        <w:t>）研究表明植物体内</w:t>
      </w:r>
      <w:r>
        <w:rPr>
          <w:rFonts w:ascii="Times New Roman"/>
          <w:color w:val="000000"/>
          <w:spacing w:val="-5"/>
          <w:sz w:val="21"/>
        </w:rPr>
        <w:t xml:space="preserve"> </w:t>
      </w:r>
      <w:r>
        <w:rPr>
          <w:rFonts w:ascii="Times New Roman"/>
          <w:color w:val="000000"/>
          <w:spacing w:val="0"/>
          <w:sz w:val="21"/>
        </w:rPr>
        <w:t>ABA</w:t>
      </w:r>
      <w:r>
        <w:rPr>
          <w:rFonts w:ascii="Times New Roman"/>
          <w:color w:val="000000"/>
          <w:spacing w:val="-8"/>
          <w:sz w:val="21"/>
        </w:rPr>
        <w:t xml:space="preserve"> </w:t>
      </w:r>
      <w:r>
        <w:rPr>
          <w:rFonts w:ascii="宋体" w:hAnsi="宋体" w:cs="宋体"/>
          <w:color w:val="000000"/>
          <w:spacing w:val="-2"/>
          <w:sz w:val="21"/>
        </w:rPr>
        <w:t>含量与抗盐碱能力正相关。拟培育抗盐碱作物新品种，可筛选</w:t>
      </w:r>
      <w:r>
        <w:rPr>
          <w:rFonts w:ascii="Times New Roman"/>
          <w:color w:val="000000"/>
          <w:spacing w:val="0"/>
          <w:sz w:val="21"/>
        </w:rPr>
        <w:t>_____</w:t>
      </w:r>
      <w:r>
        <w:rPr>
          <w:rFonts w:ascii="宋体" w:hAnsi="宋体" w:cs="宋体"/>
          <w:color w:val="000000"/>
          <w:spacing w:val="-17"/>
          <w:sz w:val="21"/>
        </w:rPr>
        <w:t>（填序号）。</w:t>
      </w:r>
    </w:p>
    <w:p w14:paraId="411BE18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①</w:t>
      </w:r>
      <w:r>
        <w:rPr>
          <w:rFonts w:ascii="Times New Roman"/>
          <w:color w:val="000000"/>
          <w:spacing w:val="0"/>
          <w:sz w:val="21"/>
        </w:rPr>
        <w:t>ABA</w:t>
      </w:r>
      <w:r>
        <w:rPr>
          <w:rFonts w:ascii="Times New Roman"/>
          <w:color w:val="000000"/>
          <w:spacing w:val="-1"/>
          <w:sz w:val="21"/>
        </w:rPr>
        <w:t xml:space="preserve"> </w:t>
      </w:r>
      <w:r>
        <w:rPr>
          <w:rFonts w:ascii="宋体" w:hAnsi="宋体" w:cs="宋体"/>
          <w:color w:val="000000"/>
          <w:spacing w:val="0"/>
          <w:sz w:val="21"/>
        </w:rPr>
        <w:t>合成酶缺失突变体</w:t>
      </w:r>
      <w:r>
        <w:rPr>
          <w:rFonts w:ascii="Times New Roman"/>
          <w:color w:val="000000"/>
          <w:spacing w:val="158"/>
          <w:sz w:val="21"/>
        </w:rPr>
        <w:t xml:space="preserve"> </w:t>
      </w:r>
      <w:r>
        <w:rPr>
          <w:rFonts w:ascii="宋体" w:hAnsi="宋体" w:cs="宋体"/>
          <w:color w:val="000000"/>
          <w:spacing w:val="0"/>
          <w:sz w:val="21"/>
        </w:rPr>
        <w:t>②</w:t>
      </w:r>
      <w:r>
        <w:rPr>
          <w:rFonts w:ascii="Times New Roman"/>
          <w:color w:val="000000"/>
          <w:spacing w:val="0"/>
          <w:sz w:val="21"/>
        </w:rPr>
        <w:t>ABA</w:t>
      </w:r>
      <w:r>
        <w:rPr>
          <w:rFonts w:ascii="Times New Roman"/>
          <w:color w:val="000000"/>
          <w:spacing w:val="-1"/>
          <w:sz w:val="21"/>
        </w:rPr>
        <w:t xml:space="preserve"> </w:t>
      </w:r>
      <w:r>
        <w:rPr>
          <w:rFonts w:ascii="宋体" w:hAnsi="宋体" w:cs="宋体"/>
          <w:color w:val="000000"/>
          <w:spacing w:val="0"/>
          <w:sz w:val="21"/>
        </w:rPr>
        <w:t>合成酶高活性品种</w:t>
      </w:r>
      <w:r>
        <w:rPr>
          <w:rFonts w:ascii="Times New Roman"/>
          <w:color w:val="000000"/>
          <w:spacing w:val="158"/>
          <w:sz w:val="21"/>
        </w:rPr>
        <w:t xml:space="preserve"> </w:t>
      </w:r>
      <w:r>
        <w:rPr>
          <w:rFonts w:ascii="宋体" w:hAnsi="宋体" w:cs="宋体"/>
          <w:color w:val="000000"/>
          <w:spacing w:val="0"/>
          <w:sz w:val="21"/>
        </w:rPr>
        <w:t>③</w:t>
      </w:r>
      <w:r>
        <w:rPr>
          <w:rFonts w:ascii="Times New Roman"/>
          <w:color w:val="000000"/>
          <w:spacing w:val="0"/>
          <w:sz w:val="21"/>
        </w:rPr>
        <w:t>ABA</w:t>
      </w:r>
      <w:r>
        <w:rPr>
          <w:rFonts w:ascii="Times New Roman"/>
          <w:color w:val="000000"/>
          <w:spacing w:val="-2"/>
          <w:sz w:val="21"/>
        </w:rPr>
        <w:t xml:space="preserve"> </w:t>
      </w:r>
      <w:r>
        <w:rPr>
          <w:rFonts w:ascii="宋体" w:hAnsi="宋体" w:cs="宋体"/>
          <w:color w:val="000000"/>
          <w:spacing w:val="0"/>
          <w:sz w:val="21"/>
        </w:rPr>
        <w:t>受体低敏感性品种</w:t>
      </w:r>
      <w:r>
        <w:rPr>
          <w:rFonts w:ascii="Times New Roman"/>
          <w:color w:val="000000"/>
          <w:spacing w:val="158"/>
          <w:sz w:val="21"/>
        </w:rPr>
        <w:t xml:space="preserve"> </w:t>
      </w:r>
      <w:r>
        <w:rPr>
          <w:rFonts w:ascii="宋体" w:hAnsi="宋体" w:cs="宋体"/>
          <w:color w:val="000000"/>
          <w:spacing w:val="0"/>
          <w:sz w:val="21"/>
        </w:rPr>
        <w:t>④</w:t>
      </w:r>
      <w:r>
        <w:rPr>
          <w:rFonts w:ascii="Times New Roman"/>
          <w:color w:val="000000"/>
          <w:spacing w:val="0"/>
          <w:sz w:val="21"/>
        </w:rPr>
        <w:t>ABA</w:t>
      </w:r>
      <w:r>
        <w:rPr>
          <w:rFonts w:ascii="Times New Roman"/>
          <w:color w:val="000000"/>
          <w:spacing w:val="-1"/>
          <w:sz w:val="21"/>
        </w:rPr>
        <w:t xml:space="preserve"> </w:t>
      </w:r>
      <w:r>
        <w:rPr>
          <w:rFonts w:ascii="宋体" w:hAnsi="宋体" w:cs="宋体"/>
          <w:color w:val="000000"/>
          <w:spacing w:val="0"/>
          <w:sz w:val="21"/>
        </w:rPr>
        <w:t>降解酶低活性</w:t>
      </w:r>
    </w:p>
    <w:p w14:paraId="150DBD9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品种</w:t>
      </w:r>
    </w:p>
    <w:p w14:paraId="7652F136">
      <w:pPr>
        <w:spacing w:before="219" w:after="0" w:line="251"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）盐碱胁迫下，葡萄幼苗的细胞将细胞质基质中的</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运送到液泡中储存或排出细胞，降低盐碱胁迫伤</w:t>
      </w:r>
    </w:p>
    <w:p w14:paraId="417C01E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害。与正常栽培条件相比，葡萄幼苗在一定浓度的盐碱处理下，一段时间后生物量减少，从物质跨膜运输</w:t>
      </w:r>
    </w:p>
    <w:p w14:paraId="5ACC55A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和呼吸作用的关系分析其原因是</w:t>
      </w:r>
    </w:p>
    <w:p w14:paraId="3B46148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____________________________________________________________________________________________</w:t>
      </w:r>
    </w:p>
    <w:p w14:paraId="054D75E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____________________________________________________________________________________________</w:t>
      </w:r>
    </w:p>
    <w:p w14:paraId="5E4D045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________________________________________________________</w:t>
      </w:r>
      <w:r>
        <w:rPr>
          <w:rFonts w:ascii="宋体" w:hAnsi="宋体" w:cs="宋体"/>
          <w:color w:val="000000"/>
          <w:spacing w:val="0"/>
          <w:sz w:val="21"/>
        </w:rPr>
        <w:t>。</w:t>
      </w:r>
    </w:p>
    <w:p w14:paraId="65D0CE0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2"/>
          <w:sz w:val="21"/>
        </w:rPr>
        <w:t>湿地松从原产地北美洲引入南美洲后，表现出较强的入侵能力。为探究其原因，科研人员调查了三种生</w:t>
      </w:r>
    </w:p>
    <w:p w14:paraId="450725E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境中土壤微小动物线虫的类群，结果见表。回答下列问题：</w:t>
      </w:r>
    </w:p>
    <w:p w14:paraId="72A15704">
      <w:pPr>
        <w:spacing w:before="335" w:after="0" w:line="234" w:lineRule="exact"/>
        <w:ind w:left="0" w:right="2803" w:firstLine="1846"/>
        <w:jc w:val="left"/>
        <w:rPr>
          <w:rFonts w:ascii="Times New Roman"/>
          <w:color w:val="000000"/>
          <w:spacing w:val="0"/>
          <w:sz w:val="21"/>
        </w:rPr>
      </w:pPr>
      <w:r>
        <w:rPr>
          <w:rFonts w:ascii="宋体" w:hAnsi="宋体" w:cs="宋体"/>
          <w:color w:val="000000"/>
          <w:spacing w:val="24"/>
          <w:sz w:val="21"/>
        </w:rPr>
        <w:t>入侵时间</w:t>
      </w:r>
      <w:r>
        <w:rPr>
          <w:rFonts w:ascii="Times New Roman"/>
          <w:color w:val="000000"/>
          <w:spacing w:val="152"/>
          <w:sz w:val="21"/>
        </w:rPr>
        <w:t xml:space="preserve"> </w:t>
      </w:r>
      <w:r>
        <w:rPr>
          <w:rFonts w:ascii="宋体" w:hAnsi="宋体" w:cs="宋体"/>
          <w:color w:val="000000"/>
          <w:spacing w:val="24"/>
          <w:sz w:val="21"/>
        </w:rPr>
        <w:t>线虫种类</w:t>
      </w:r>
      <w:r>
        <w:rPr>
          <w:rFonts w:ascii="Times New Roman"/>
          <w:color w:val="000000"/>
          <w:spacing w:val="152"/>
          <w:sz w:val="21"/>
        </w:rPr>
        <w:t xml:space="preserve"> </w:t>
      </w:r>
      <w:r>
        <w:rPr>
          <w:rFonts w:ascii="宋体" w:hAnsi="宋体" w:cs="宋体"/>
          <w:color w:val="000000"/>
          <w:spacing w:val="0"/>
          <w:sz w:val="21"/>
        </w:rPr>
        <w:t>植食性线虫数量（条</w:t>
      </w:r>
      <w:r>
        <w:rPr>
          <w:rFonts w:ascii="Times New Roman" w:hAnsi="Times New Roman" w:cs="Times New Roman"/>
          <w:color w:val="000000"/>
          <w:spacing w:val="0"/>
          <w:sz w:val="21"/>
        </w:rPr>
        <w:t>·</w:t>
      </w:r>
      <w:r>
        <w:rPr>
          <w:rFonts w:ascii="Times New Roman"/>
          <w:color w:val="000000"/>
          <w:spacing w:val="118"/>
          <w:sz w:val="21"/>
        </w:rPr>
        <w:t xml:space="preserve"> </w:t>
      </w:r>
      <w:r>
        <w:rPr>
          <w:rFonts w:ascii="宋体" w:hAnsi="宋体" w:cs="宋体"/>
          <w:color w:val="000000"/>
          <w:spacing w:val="24"/>
          <w:sz w:val="21"/>
        </w:rPr>
        <w:t xml:space="preserve">植食性线虫数量 </w:t>
      </w:r>
      <w:r>
        <w:rPr>
          <w:rFonts w:ascii="宋体" w:hAnsi="宋体" w:cs="宋体"/>
          <w:color w:val="000000"/>
          <w:spacing w:val="0"/>
          <w:sz w:val="21"/>
        </w:rPr>
        <w:t>生境类型</w:t>
      </w:r>
    </w:p>
    <w:p w14:paraId="24157CC8">
      <w:pPr>
        <w:spacing w:before="0" w:after="0" w:line="251" w:lineRule="exact"/>
        <w:ind w:left="1846" w:right="0" w:firstLine="0"/>
        <w:jc w:val="left"/>
        <w:rPr>
          <w:rFonts w:ascii="Times New Roman"/>
          <w:color w:val="000000"/>
          <w:spacing w:val="0"/>
          <w:sz w:val="21"/>
        </w:rPr>
      </w:pPr>
      <w:r>
        <w:rPr>
          <w:rFonts w:ascii="宋体" w:hAnsi="宋体" w:cs="宋体"/>
          <w:color w:val="000000"/>
          <w:spacing w:val="0"/>
          <w:sz w:val="21"/>
        </w:rPr>
        <w:t>（年）</w:t>
      </w:r>
      <w:r>
        <w:rPr>
          <w:rFonts w:ascii="Times New Roman"/>
          <w:color w:val="000000"/>
          <w:spacing w:val="458"/>
          <w:sz w:val="21"/>
        </w:rPr>
        <w:t xml:space="preserve"> </w:t>
      </w:r>
      <w:r>
        <w:rPr>
          <w:rFonts w:ascii="宋体" w:hAnsi="宋体" w:cs="宋体"/>
          <w:color w:val="000000"/>
          <w:spacing w:val="0"/>
          <w:sz w:val="21"/>
        </w:rPr>
        <w:t>数（种）</w:t>
      </w:r>
      <w:r>
        <w:rPr>
          <w:rFonts w:ascii="Times New Roman"/>
          <w:color w:val="000000"/>
          <w:spacing w:val="248"/>
          <w:sz w:val="21"/>
        </w:rPr>
        <w:t xml:space="preserve"> </w:t>
      </w:r>
      <w:r>
        <w:rPr>
          <w:rFonts w:ascii="Times New Roman"/>
          <w:color w:val="000000"/>
          <w:spacing w:val="0"/>
          <w:sz w:val="21"/>
        </w:rPr>
        <w:t>100 g</w:t>
      </w:r>
      <w:r>
        <w:rPr>
          <w:rFonts w:ascii="Times New Roman"/>
          <w:color w:val="000000"/>
          <w:spacing w:val="0"/>
          <w:sz w:val="23"/>
          <w:vertAlign w:val="superscript"/>
        </w:rPr>
        <w:t>-1</w:t>
      </w:r>
      <w:r>
        <w:rPr>
          <w:rFonts w:ascii="Times New Roman"/>
          <w:color w:val="000000"/>
          <w:spacing w:val="-5"/>
          <w:sz w:val="23"/>
          <w:vertAlign w:val="superscript"/>
        </w:rPr>
        <w:t xml:space="preserve"> </w:t>
      </w:r>
      <w:r>
        <w:rPr>
          <w:rFonts w:ascii="宋体" w:hAnsi="宋体" w:cs="宋体"/>
          <w:color w:val="000000"/>
          <w:spacing w:val="0"/>
          <w:sz w:val="21"/>
        </w:rPr>
        <w:t>干土）</w:t>
      </w:r>
      <w:r>
        <w:rPr>
          <w:rFonts w:ascii="Times New Roman"/>
          <w:color w:val="000000"/>
          <w:spacing w:val="799"/>
          <w:sz w:val="21"/>
        </w:rPr>
        <w:t xml:space="preserve"> </w:t>
      </w:r>
      <w:r>
        <w:rPr>
          <w:rFonts w:ascii="宋体" w:hAnsi="宋体" w:cs="宋体"/>
          <w:color w:val="000000"/>
          <w:spacing w:val="0"/>
          <w:sz w:val="21"/>
        </w:rPr>
        <w:t>所占比例（</w:t>
      </w:r>
      <w:r>
        <w:rPr>
          <w:rFonts w:ascii="Times New Roman"/>
          <w:color w:val="000000"/>
          <w:spacing w:val="0"/>
          <w:sz w:val="21"/>
        </w:rPr>
        <w:t>%</w:t>
      </w:r>
      <w:r>
        <w:rPr>
          <w:rFonts w:ascii="宋体" w:hAnsi="宋体" w:cs="宋体"/>
          <w:color w:val="000000"/>
          <w:spacing w:val="0"/>
          <w:sz w:val="21"/>
        </w:rPr>
        <w:t>）</w:t>
      </w:r>
    </w:p>
    <w:p w14:paraId="0453191C">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原生灌草丛</w:t>
      </w:r>
      <w:r>
        <w:rPr>
          <w:rFonts w:ascii="Times New Roman"/>
          <w:color w:val="000000"/>
          <w:spacing w:val="743"/>
          <w:sz w:val="21"/>
        </w:rPr>
        <w:t xml:space="preserve"> </w:t>
      </w:r>
      <w:r>
        <w:rPr>
          <w:rFonts w:ascii="Times New Roman"/>
          <w:color w:val="000000"/>
          <w:spacing w:val="0"/>
          <w:sz w:val="21"/>
        </w:rPr>
        <w:t>0</w:t>
      </w:r>
      <w:r>
        <w:rPr>
          <w:rFonts w:ascii="Times New Roman"/>
          <w:color w:val="000000"/>
          <w:spacing w:val="983"/>
          <w:sz w:val="21"/>
        </w:rPr>
        <w:t xml:space="preserve"> </w:t>
      </w:r>
      <w:r>
        <w:rPr>
          <w:rFonts w:ascii="Times New Roman"/>
          <w:color w:val="000000"/>
          <w:spacing w:val="0"/>
          <w:sz w:val="21"/>
        </w:rPr>
        <w:t>26</w:t>
      </w:r>
      <w:r>
        <w:rPr>
          <w:rFonts w:ascii="Times New Roman"/>
          <w:color w:val="000000"/>
          <w:spacing w:val="878"/>
          <w:sz w:val="21"/>
        </w:rPr>
        <w:t xml:space="preserve"> </w:t>
      </w:r>
      <w:r>
        <w:rPr>
          <w:rFonts w:ascii="Times New Roman"/>
          <w:color w:val="000000"/>
          <w:spacing w:val="0"/>
          <w:sz w:val="21"/>
        </w:rPr>
        <w:t>470</w:t>
      </w:r>
      <w:r>
        <w:rPr>
          <w:rFonts w:ascii="Times New Roman"/>
          <w:color w:val="000000"/>
          <w:spacing w:val="1763"/>
          <w:sz w:val="21"/>
        </w:rPr>
        <w:t xml:space="preserve"> </w:t>
      </w:r>
      <w:r>
        <w:rPr>
          <w:rFonts w:ascii="Times New Roman"/>
          <w:color w:val="000000"/>
          <w:spacing w:val="0"/>
          <w:sz w:val="21"/>
        </w:rPr>
        <w:t>74.7</w:t>
      </w:r>
    </w:p>
    <w:p w14:paraId="3C98CB05">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灌草丛</w:t>
      </w:r>
      <w:r>
        <w:rPr>
          <w:rFonts w:ascii="Times New Roman" w:hAnsi="Times New Roman" w:cs="Times New Roman"/>
          <w:color w:val="000000"/>
          <w:spacing w:val="0"/>
          <w:sz w:val="21"/>
        </w:rPr>
        <w:t>—</w:t>
      </w:r>
      <w:r>
        <w:rPr>
          <w:rFonts w:ascii="宋体" w:hAnsi="宋体" w:cs="宋体"/>
          <w:color w:val="000000"/>
          <w:spacing w:val="0"/>
          <w:sz w:val="21"/>
        </w:rPr>
        <w:t>湿地松</w:t>
      </w:r>
      <w:r>
        <w:rPr>
          <w:rFonts w:ascii="Times New Roman"/>
          <w:color w:val="000000"/>
          <w:spacing w:val="323"/>
          <w:sz w:val="21"/>
        </w:rPr>
        <w:t xml:space="preserve"> </w:t>
      </w:r>
      <w:r>
        <w:rPr>
          <w:rFonts w:ascii="Times New Roman"/>
          <w:color w:val="000000"/>
          <w:spacing w:val="0"/>
          <w:sz w:val="21"/>
        </w:rPr>
        <w:t>20~30</w:t>
      </w:r>
      <w:r>
        <w:rPr>
          <w:rFonts w:ascii="Times New Roman"/>
          <w:color w:val="000000"/>
          <w:spacing w:val="554"/>
          <w:sz w:val="21"/>
        </w:rPr>
        <w:t xml:space="preserve"> </w:t>
      </w:r>
      <w:r>
        <w:rPr>
          <w:rFonts w:ascii="Times New Roman"/>
          <w:color w:val="000000"/>
          <w:spacing w:val="0"/>
          <w:sz w:val="21"/>
        </w:rPr>
        <w:t>28</w:t>
      </w:r>
      <w:r>
        <w:rPr>
          <w:rFonts w:ascii="Times New Roman"/>
          <w:color w:val="000000"/>
          <w:spacing w:val="878"/>
          <w:sz w:val="21"/>
        </w:rPr>
        <w:t xml:space="preserve"> </w:t>
      </w:r>
      <w:r>
        <w:rPr>
          <w:rFonts w:ascii="Times New Roman"/>
          <w:color w:val="000000"/>
          <w:spacing w:val="0"/>
          <w:sz w:val="21"/>
        </w:rPr>
        <w:t>218</w:t>
      </w:r>
      <w:r>
        <w:rPr>
          <w:rFonts w:ascii="Times New Roman"/>
          <w:color w:val="000000"/>
          <w:spacing w:val="1763"/>
          <w:sz w:val="21"/>
        </w:rPr>
        <w:t xml:space="preserve"> </w:t>
      </w:r>
      <w:r>
        <w:rPr>
          <w:rFonts w:ascii="Times New Roman"/>
          <w:color w:val="000000"/>
          <w:spacing w:val="0"/>
          <w:sz w:val="21"/>
        </w:rPr>
        <w:t>68.9</w:t>
      </w:r>
    </w:p>
    <w:p w14:paraId="4339185F">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湿地松纯林</w:t>
      </w:r>
      <w:r>
        <w:rPr>
          <w:rFonts w:ascii="Times New Roman"/>
          <w:color w:val="000000"/>
          <w:spacing w:val="743"/>
          <w:sz w:val="21"/>
        </w:rPr>
        <w:t xml:space="preserve"> </w:t>
      </w:r>
      <w:r>
        <w:rPr>
          <w:rFonts w:ascii="Times New Roman"/>
          <w:color w:val="000000"/>
          <w:spacing w:val="0"/>
          <w:sz w:val="21"/>
        </w:rPr>
        <w:t>65</w:t>
      </w:r>
      <w:r>
        <w:rPr>
          <w:rFonts w:ascii="Times New Roman"/>
          <w:color w:val="000000"/>
          <w:spacing w:val="878"/>
          <w:sz w:val="21"/>
        </w:rPr>
        <w:t xml:space="preserve"> </w:t>
      </w:r>
      <w:r>
        <w:rPr>
          <w:rFonts w:ascii="Times New Roman"/>
          <w:color w:val="000000"/>
          <w:spacing w:val="0"/>
          <w:sz w:val="21"/>
        </w:rPr>
        <w:t>17</w:t>
      </w:r>
      <w:r>
        <w:rPr>
          <w:rFonts w:ascii="Times New Roman"/>
          <w:color w:val="000000"/>
          <w:spacing w:val="878"/>
          <w:sz w:val="21"/>
        </w:rPr>
        <w:t xml:space="preserve"> </w:t>
      </w:r>
      <w:r>
        <w:rPr>
          <w:rFonts w:ascii="Times New Roman"/>
          <w:color w:val="000000"/>
          <w:spacing w:val="0"/>
          <w:sz w:val="21"/>
        </w:rPr>
        <w:t>22</w:t>
      </w:r>
      <w:r>
        <w:rPr>
          <w:rFonts w:ascii="Times New Roman"/>
          <w:color w:val="000000"/>
          <w:spacing w:val="1868"/>
          <w:sz w:val="21"/>
        </w:rPr>
        <w:t xml:space="preserve"> </w:t>
      </w:r>
      <w:r>
        <w:rPr>
          <w:rFonts w:ascii="Times New Roman"/>
          <w:color w:val="000000"/>
          <w:spacing w:val="0"/>
          <w:sz w:val="21"/>
        </w:rPr>
        <w:t>38.0</w:t>
      </w:r>
    </w:p>
    <w:p w14:paraId="6659E930">
      <w:pPr>
        <w:spacing w:before="25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6266ABE4">
      <w:pPr>
        <w:spacing w:before="0" w:after="0" w:line="0" w:lineRule="exact"/>
        <w:ind w:left="0" w:right="0" w:firstLine="0"/>
        <w:jc w:val="left"/>
        <w:rPr>
          <w:rFonts w:ascii="Arial"/>
          <w:color w:val="FF0000"/>
          <w:spacing w:val="0"/>
          <w:sz w:val="2"/>
        </w:rPr>
      </w:pPr>
    </w:p>
    <w:p w14:paraId="14736531">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86FFE4C">
      <w:pPr>
        <w:sectPr>
          <w:pgSz w:w="11900" w:h="16840"/>
          <w:pgMar w:top="1452" w:right="100" w:bottom="0" w:left="1080" w:header="720" w:footer="720" w:gutter="0"/>
          <w:pgNumType w:start="1"/>
          <w:cols w:space="720" w:num="1"/>
          <w:docGrid w:linePitch="1" w:charSpace="0"/>
        </w:sectPr>
      </w:pPr>
    </w:p>
    <w:p w14:paraId="5F437409">
      <w:pPr>
        <w:spacing w:before="0" w:after="0" w:line="0" w:lineRule="exact"/>
        <w:ind w:left="0" w:right="0" w:firstLine="0"/>
        <w:jc w:val="left"/>
        <w:rPr>
          <w:rFonts w:ascii="Arial"/>
          <w:color w:val="FF0000"/>
          <w:spacing w:val="0"/>
          <w:sz w:val="2"/>
        </w:rPr>
      </w:pPr>
    </w:p>
    <w:p w14:paraId="2626382A">
      <w:pPr>
        <w:spacing w:before="0" w:after="0" w:line="243" w:lineRule="exact"/>
        <w:ind w:left="0" w:right="0" w:firstLine="0"/>
        <w:jc w:val="left"/>
        <w:rPr>
          <w:rFonts w:ascii="Times New Roman"/>
          <w:color w:val="000000"/>
          <w:spacing w:val="0"/>
          <w:sz w:val="21"/>
        </w:rPr>
      </w:pPr>
      <w:r>
        <w:pict>
          <v:shape id="_x000027" o:spid="_x0000_s105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28" o:spid="_x0000_s1054"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9" o:spid="_x0000_s105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0" o:spid="_x0000_s1056" o:spt="75" type="#_x0000_t75" style="position:absolute;left:0pt;margin-left:149.8pt;margin-top:376.45pt;height:20pt;width:14.75pt;mso-position-horizontal-relative:page;mso-position-vertical-relative:page;z-index:-251657216;mso-width-relative:page;mso-height-relative:page;" filled="f" coordsize="21600,21600">
            <v:path/>
            <v:fill on="f" focussize="0,0"/>
            <v:stroke/>
            <v:imagedata r:id="rId25" o:title=""/>
            <o:lock v:ext="edit" aspectratio="t"/>
          </v:shape>
        </w:pict>
      </w:r>
      <w:r>
        <w:pict>
          <v:shape id="_x000031" o:spid="_x0000_s1057" o:spt="75" type="#_x0000_t75" style="position:absolute;left:0pt;margin-left:95.05pt;margin-top:528.75pt;height:15.5pt;width:219.6pt;mso-position-horizontal-relative:page;mso-position-vertical-relative:page;z-index:-251657216;mso-width-relative:page;mso-height-relative:page;" filled="f" coordsize="21600,21600">
            <v:path/>
            <v:fill on="f" focussize="0,0"/>
            <v:stroke/>
            <v:imagedata r:id="rId26" o:title=""/>
            <o:lock v:ext="edit" aspectratio="t"/>
          </v:shape>
        </w:pict>
      </w:r>
      <w:r>
        <w:pict>
          <v:shape id="_x000032" o:spid="_x0000_s1058" o:spt="75" type="#_x0000_t75" style="position:absolute;left:0pt;margin-left:95.05pt;margin-top:559.55pt;height:15.5pt;width:220.35pt;mso-position-horizontal-relative:page;mso-position-vertical-relative:page;z-index:-251657216;mso-width-relative:page;mso-height-relative:page;" filled="f" coordsize="21600,21600">
            <v:path/>
            <v:fill on="f" focussize="0,0"/>
            <v:stroke/>
            <v:imagedata r:id="rId27" o:title=""/>
            <o:lock v:ext="edit" aspectratio="t"/>
          </v:shape>
        </w:pict>
      </w:r>
      <w:r>
        <w:pict>
          <v:shape id="_x000033" o:spid="_x0000_s1059" o:spt="75" type="#_x0000_t75" style="position:absolute;left:0pt;margin-left:74.05pt;margin-top:654.9pt;height:16.25pt;width:106.3pt;mso-position-horizontal-relative:page;mso-position-vertical-relative:page;z-index:-251657216;mso-width-relative:page;mso-height-relative:page;" filled="f" coordsize="21600,21600">
            <v:path/>
            <v:fill on="f" focussize="0,0"/>
            <v:stroke/>
            <v:imagedata r:id="rId28" o:title=""/>
            <o:lock v:ext="edit" aspectratio="t"/>
          </v:shape>
        </w:pict>
      </w:r>
      <w:r>
        <w:pict>
          <v:shape id="_x000034" o:spid="_x0000_s1060" o:spt="75" type="#_x0000_t75" style="position:absolute;left:0pt;margin-left:74.05pt;margin-top:678.15pt;height:16.25pt;width:101.8pt;mso-position-horizontal-relative:page;mso-position-vertical-relative:page;z-index:-251657216;mso-width-relative:page;mso-height-relative:page;" filled="f" coordsize="21600,21600">
            <v:path/>
            <v:fill on="f" focussize="0,0"/>
            <v:stroke/>
            <v:imagedata r:id="rId29" o:title=""/>
            <o:lock v:ext="edit" aspectratio="t"/>
          </v:shape>
        </w:pict>
      </w:r>
      <w:r>
        <w:pict>
          <v:shape id="_x000035" o:spid="_x0000_s1061" o:spt="75" type="#_x0000_t75" style="position:absolute;left:0pt;margin-left:74.05pt;margin-top:705.15pt;height:17.75pt;width:104.8pt;mso-position-horizontal-relative:page;mso-position-vertical-relative:page;z-index:-251657216;mso-width-relative:page;mso-height-relative:page;" filled="f" coordsize="21600,21600">
            <v:path/>
            <v:fill on="f" focussize="0,0"/>
            <v:stroke/>
            <v:imagedata r:id="rId30" o:title=""/>
            <o:lock v:ext="edit" aspectratio="t"/>
          </v:shape>
        </w:pict>
      </w:r>
      <w:r>
        <w:pict>
          <v:shape id="_x000036" o:spid="_x0000_s1062" o:spt="75" type="#_x0000_t75" style="position:absolute;left:0pt;margin-left:74.05pt;margin-top:732.95pt;height:16.25pt;width:101.8pt;mso-position-horizontal-relative:page;mso-position-vertical-relative:page;z-index:-251657216;mso-width-relative:page;mso-height-relative:page;" filled="f" coordsize="21600,21600">
            <v:path/>
            <v:fill on="f" focussize="0,0"/>
            <v:stroke/>
            <v:imagedata r:id="rId31"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）采集和调查土壤线虫类群的常用方法是</w:t>
      </w:r>
      <w:r>
        <w:rPr>
          <w:rFonts w:ascii="Times New Roman"/>
          <w:color w:val="000000"/>
          <w:spacing w:val="0"/>
          <w:sz w:val="21"/>
        </w:rPr>
        <w:t>______________</w:t>
      </w:r>
      <w:r>
        <w:rPr>
          <w:rFonts w:ascii="宋体" w:hAnsi="宋体" w:cs="宋体"/>
          <w:color w:val="000000"/>
          <w:spacing w:val="-1"/>
          <w:sz w:val="21"/>
        </w:rPr>
        <w:t>，记录每种生境下各样品中的线虫种类后，统</w:t>
      </w:r>
    </w:p>
    <w:p w14:paraId="47B7FFC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计土壤线虫种类应</w:t>
      </w:r>
      <w:r>
        <w:rPr>
          <w:rFonts w:ascii="Times New Roman"/>
          <w:color w:val="000000"/>
          <w:spacing w:val="0"/>
          <w:sz w:val="21"/>
        </w:rPr>
        <w:t>____________</w:t>
      </w:r>
      <w:r>
        <w:rPr>
          <w:rFonts w:ascii="宋体" w:hAnsi="宋体" w:cs="宋体"/>
          <w:color w:val="000000"/>
          <w:spacing w:val="0"/>
          <w:sz w:val="21"/>
        </w:rPr>
        <w:t>（填</w:t>
      </w:r>
      <w:r>
        <w:rPr>
          <w:rFonts w:ascii="Times New Roman" w:hAnsi="Times New Roman" w:cs="Times New Roman"/>
          <w:color w:val="000000"/>
          <w:spacing w:val="0"/>
          <w:sz w:val="21"/>
        </w:rPr>
        <w:t>“</w:t>
      </w:r>
      <w:r>
        <w:rPr>
          <w:rFonts w:ascii="宋体" w:hAnsi="宋体" w:cs="宋体"/>
          <w:color w:val="000000"/>
          <w:spacing w:val="0"/>
          <w:sz w:val="21"/>
        </w:rPr>
        <w:t>取平均值</w:t>
      </w:r>
      <w:r>
        <w:rPr>
          <w:rFonts w:ascii="Times New Roman" w:hAnsi="Times New Roman" w:cs="Times New Roman"/>
          <w:color w:val="000000"/>
          <w:spacing w:val="0"/>
          <w:sz w:val="21"/>
        </w:rPr>
        <w:t>”“</w:t>
      </w:r>
      <w:r>
        <w:rPr>
          <w:rFonts w:ascii="宋体" w:hAnsi="宋体" w:cs="宋体"/>
          <w:color w:val="000000"/>
          <w:spacing w:val="0"/>
          <w:sz w:val="21"/>
        </w:rPr>
        <w:t>取并集</w:t>
      </w:r>
      <w:r>
        <w:rPr>
          <w:rFonts w:ascii="Times New Roman" w:hAnsi="Times New Roman" w:cs="Times New Roman"/>
          <w:color w:val="000000"/>
          <w:spacing w:val="0"/>
          <w:sz w:val="21"/>
        </w:rPr>
        <w:t>”</w:t>
      </w:r>
      <w:r>
        <w:rPr>
          <w:rFonts w:ascii="宋体" w:hAnsi="宋体" w:cs="宋体"/>
          <w:color w:val="000000"/>
          <w:spacing w:val="0"/>
          <w:sz w:val="21"/>
        </w:rPr>
        <w:t>或</w:t>
      </w:r>
      <w:r>
        <w:rPr>
          <w:rFonts w:ascii="Times New Roman" w:hAnsi="Times New Roman" w:cs="Times New Roman"/>
          <w:color w:val="000000"/>
          <w:spacing w:val="0"/>
          <w:sz w:val="21"/>
        </w:rPr>
        <w:t>“</w:t>
      </w:r>
      <w:r>
        <w:rPr>
          <w:rFonts w:ascii="宋体" w:hAnsi="宋体" w:cs="宋体"/>
          <w:color w:val="000000"/>
          <w:spacing w:val="0"/>
          <w:sz w:val="21"/>
        </w:rPr>
        <w:t>取交集</w:t>
      </w:r>
      <w:r>
        <w:rPr>
          <w:rFonts w:ascii="Times New Roman" w:hAnsi="Times New Roman" w:cs="Times New Roman"/>
          <w:color w:val="000000"/>
          <w:spacing w:val="0"/>
          <w:sz w:val="21"/>
        </w:rPr>
        <w:t>”</w:t>
      </w:r>
      <w:r>
        <w:rPr>
          <w:rFonts w:ascii="宋体" w:hAnsi="宋体" w:cs="宋体"/>
          <w:color w:val="000000"/>
          <w:spacing w:val="-105"/>
          <w:sz w:val="21"/>
        </w:rPr>
        <w:t>）。</w:t>
      </w:r>
    </w:p>
    <w:p w14:paraId="6980D78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）植食性线虫同化的能量，一部分用于生长、发育和繁殖等生命活动，储存在体内有机物中；另一部</w:t>
      </w:r>
    </w:p>
    <w:p w14:paraId="184C5C7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分</w:t>
      </w:r>
      <w:r>
        <w:rPr>
          <w:rFonts w:ascii="Times New Roman"/>
          <w:color w:val="000000"/>
          <w:spacing w:val="0"/>
          <w:sz w:val="21"/>
        </w:rPr>
        <w:t>_______________________________________________________________________________________</w:t>
      </w:r>
      <w:r>
        <w:rPr>
          <w:rFonts w:ascii="宋体" w:hAnsi="宋体" w:cs="宋体"/>
          <w:color w:val="000000"/>
          <w:spacing w:val="0"/>
          <w:sz w:val="21"/>
        </w:rPr>
        <w:t>。</w:t>
      </w:r>
    </w:p>
    <w:p w14:paraId="0CBB4F0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）湿地松引入原生灌草丛后表现出较强入侵能力的原因可能是</w:t>
      </w:r>
    </w:p>
    <w:p w14:paraId="4B7A0B6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____________________________________________________________________________________________</w:t>
      </w:r>
    </w:p>
    <w:p w14:paraId="650ABCE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w:t>
      </w:r>
      <w:r>
        <w:rPr>
          <w:rFonts w:ascii="宋体" w:hAnsi="宋体" w:cs="宋体"/>
          <w:color w:val="000000"/>
          <w:spacing w:val="-12"/>
          <w:sz w:val="21"/>
        </w:rPr>
        <w:t>（答出两点即可）。</w:t>
      </w:r>
    </w:p>
    <w:p w14:paraId="66DE663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）与入侵</w:t>
      </w:r>
      <w:r>
        <w:rPr>
          <w:rFonts w:ascii="Times New Roman"/>
          <w:color w:val="000000"/>
          <w:spacing w:val="0"/>
          <w:sz w:val="21"/>
        </w:rPr>
        <w:t xml:space="preserve"> 20~30 </w:t>
      </w:r>
      <w:r>
        <w:rPr>
          <w:rFonts w:ascii="宋体" w:hAnsi="宋体" w:cs="宋体"/>
          <w:color w:val="000000"/>
          <w:spacing w:val="0"/>
          <w:sz w:val="21"/>
        </w:rPr>
        <w:t>年时相比，入侵</w:t>
      </w:r>
      <w:r>
        <w:rPr>
          <w:rFonts w:ascii="Times New Roman"/>
          <w:color w:val="000000"/>
          <w:spacing w:val="0"/>
          <w:sz w:val="21"/>
        </w:rPr>
        <w:t xml:space="preserve"> 65 </w:t>
      </w:r>
      <w:r>
        <w:rPr>
          <w:rFonts w:ascii="宋体" w:hAnsi="宋体" w:cs="宋体"/>
          <w:color w:val="000000"/>
          <w:spacing w:val="0"/>
          <w:sz w:val="21"/>
        </w:rPr>
        <w:t>年时生态系统的抵抗力稳定性</w:t>
      </w:r>
      <w:r>
        <w:rPr>
          <w:rFonts w:ascii="Times New Roman"/>
          <w:color w:val="000000"/>
          <w:spacing w:val="0"/>
          <w:sz w:val="21"/>
        </w:rPr>
        <w:t>_____</w:t>
      </w:r>
      <w:r>
        <w:rPr>
          <w:rFonts w:ascii="宋体" w:hAnsi="宋体" w:cs="宋体"/>
          <w:color w:val="000000"/>
          <w:spacing w:val="0"/>
          <w:sz w:val="21"/>
        </w:rPr>
        <w:t>，原因是</w:t>
      </w:r>
    </w:p>
    <w:p w14:paraId="57875C6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____________________________________________________________________________________________</w:t>
      </w:r>
    </w:p>
    <w:p w14:paraId="790408F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w:t>
      </w:r>
      <w:r>
        <w:rPr>
          <w:rFonts w:ascii="宋体" w:hAnsi="宋体" w:cs="宋体"/>
          <w:color w:val="000000"/>
          <w:spacing w:val="0"/>
          <w:sz w:val="21"/>
        </w:rPr>
        <w:t>。</w:t>
      </w:r>
    </w:p>
    <w:p w14:paraId="02709AC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1"/>
          <w:sz w:val="21"/>
        </w:rPr>
        <w:t>株高是影响水稻产量的重要性状，探究株高相关基因的遗传机制对水稻育种有重要意义。回答下列问题：</w:t>
      </w:r>
    </w:p>
    <w:p w14:paraId="5382B7B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9"/>
          <w:sz w:val="21"/>
        </w:rPr>
        <w:t>）为阐明纯合品系甲（株高</w:t>
      </w:r>
      <w:r>
        <w:rPr>
          <w:rFonts w:ascii="Times New Roman"/>
          <w:color w:val="000000"/>
          <w:spacing w:val="-4"/>
          <w:sz w:val="21"/>
        </w:rPr>
        <w:t xml:space="preserve"> </w:t>
      </w:r>
      <w:r>
        <w:rPr>
          <w:rFonts w:ascii="Times New Roman"/>
          <w:color w:val="000000"/>
          <w:spacing w:val="0"/>
          <w:sz w:val="21"/>
        </w:rPr>
        <w:t>100 cm</w:t>
      </w:r>
      <w:r>
        <w:rPr>
          <w:rFonts w:ascii="宋体" w:hAnsi="宋体" w:cs="宋体"/>
          <w:color w:val="000000"/>
          <w:spacing w:val="-5"/>
          <w:sz w:val="21"/>
        </w:rPr>
        <w:t>）株高由几对基因控制和显隐性等遗传机制，将其与纯合野生品系（株</w:t>
      </w:r>
    </w:p>
    <w:p w14:paraId="291ACCB2">
      <w:pPr>
        <w:spacing w:before="290" w:after="0" w:line="256" w:lineRule="exact"/>
        <w:ind w:left="0" w:right="0" w:firstLine="0"/>
        <w:jc w:val="left"/>
        <w:rPr>
          <w:rFonts w:ascii="Times New Roman"/>
          <w:color w:val="000000"/>
          <w:spacing w:val="0"/>
          <w:sz w:val="21"/>
        </w:rPr>
      </w:pPr>
      <w:r>
        <w:rPr>
          <w:rFonts w:ascii="宋体" w:hAnsi="宋体" w:cs="宋体"/>
          <w:color w:val="000000"/>
          <w:spacing w:val="0"/>
          <w:sz w:val="21"/>
        </w:rPr>
        <w:t>高</w:t>
      </w:r>
      <w:r>
        <w:rPr>
          <w:rFonts w:ascii="Times New Roman"/>
          <w:color w:val="000000"/>
          <w:spacing w:val="0"/>
          <w:sz w:val="21"/>
        </w:rPr>
        <w:t xml:space="preserve"> 140 cm</w:t>
      </w:r>
      <w:r>
        <w:rPr>
          <w:rFonts w:ascii="宋体" w:hAnsi="宋体" w:cs="宋体"/>
          <w:color w:val="000000"/>
          <w:spacing w:val="0"/>
          <w:sz w:val="21"/>
        </w:rPr>
        <w:t>）杂交后，</w:t>
      </w:r>
      <w:r>
        <w:rPr>
          <w:rFonts w:ascii="Times New Roman"/>
          <w:color w:val="000000"/>
          <w:spacing w:val="203"/>
          <w:sz w:val="21"/>
        </w:rPr>
        <w:t xml:space="preserve"> </w:t>
      </w:r>
      <w:r>
        <w:rPr>
          <w:rFonts w:ascii="宋体" w:hAnsi="宋体" w:cs="宋体"/>
          <w:color w:val="000000"/>
          <w:spacing w:val="0"/>
          <w:sz w:val="21"/>
        </w:rPr>
        <w:t>株高均为</w:t>
      </w:r>
      <w:r>
        <w:rPr>
          <w:rFonts w:ascii="Times New Roman"/>
          <w:color w:val="000000"/>
          <w:spacing w:val="0"/>
          <w:sz w:val="21"/>
        </w:rPr>
        <w:t xml:space="preserve"> 140 cm</w:t>
      </w:r>
      <w:r>
        <w:rPr>
          <w:rFonts w:ascii="宋体" w:hAnsi="宋体" w:cs="宋体"/>
          <w:color w:val="000000"/>
          <w:spacing w:val="0"/>
          <w:sz w:val="21"/>
        </w:rPr>
        <w:t>，</w:t>
      </w:r>
      <w:r>
        <w:rPr>
          <w:rFonts w:ascii="Times New Roman"/>
          <w:color w:val="000000"/>
          <w:spacing w:val="0"/>
          <w:sz w:val="21"/>
        </w:rPr>
        <w:t>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中株高</w:t>
      </w:r>
      <w:r>
        <w:rPr>
          <w:rFonts w:ascii="Times New Roman"/>
          <w:color w:val="000000"/>
          <w:spacing w:val="0"/>
          <w:sz w:val="21"/>
        </w:rPr>
        <w:t xml:space="preserve"> 140 cm </w:t>
      </w:r>
      <w:r>
        <w:rPr>
          <w:rFonts w:ascii="宋体" w:hAnsi="宋体" w:cs="宋体"/>
          <w:color w:val="000000"/>
          <w:spacing w:val="0"/>
          <w:sz w:val="21"/>
        </w:rPr>
        <w:t>和</w:t>
      </w:r>
      <w:r>
        <w:rPr>
          <w:rFonts w:ascii="Times New Roman"/>
          <w:color w:val="000000"/>
          <w:spacing w:val="0"/>
          <w:sz w:val="21"/>
        </w:rPr>
        <w:t xml:space="preserve"> 100 cm </w:t>
      </w:r>
      <w:r>
        <w:rPr>
          <w:rFonts w:ascii="宋体" w:hAnsi="宋体" w:cs="宋体"/>
          <w:color w:val="000000"/>
          <w:spacing w:val="0"/>
          <w:sz w:val="21"/>
        </w:rPr>
        <w:t>的数量比约为</w:t>
      </w:r>
      <w:r>
        <w:rPr>
          <w:rFonts w:ascii="Times New Roman"/>
          <w:color w:val="000000"/>
          <w:spacing w:val="0"/>
          <w:sz w:val="21"/>
        </w:rPr>
        <w:t xml:space="preserve"> 3</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，推测品系甲株</w:t>
      </w:r>
    </w:p>
    <w:p w14:paraId="59A0329A">
      <w:pPr>
        <w:spacing w:before="301" w:after="0" w:line="220" w:lineRule="exact"/>
        <w:ind w:left="0" w:right="0" w:firstLine="0"/>
        <w:jc w:val="left"/>
        <w:rPr>
          <w:rFonts w:ascii="Times New Roman"/>
          <w:color w:val="000000"/>
          <w:spacing w:val="0"/>
          <w:sz w:val="21"/>
        </w:rPr>
      </w:pPr>
      <w:r>
        <w:rPr>
          <w:rFonts w:ascii="宋体" w:hAnsi="宋体" w:cs="宋体"/>
          <w:color w:val="000000"/>
          <w:spacing w:val="0"/>
          <w:sz w:val="21"/>
        </w:rPr>
        <w:t>高的遗传机制为</w:t>
      </w:r>
    </w:p>
    <w:p w14:paraId="6F7ED51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____________________________________________________________________________________________</w:t>
      </w:r>
    </w:p>
    <w:p w14:paraId="57F0636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_______________________________________________________________________</w:t>
      </w:r>
      <w:r>
        <w:rPr>
          <w:rFonts w:ascii="宋体" w:hAnsi="宋体" w:cs="宋体"/>
          <w:color w:val="000000"/>
          <w:spacing w:val="0"/>
          <w:sz w:val="21"/>
        </w:rPr>
        <w:t>。</w:t>
      </w:r>
    </w:p>
    <w:p w14:paraId="0653EDD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）品系甲是野生型的某株高基因发生突变所致，其转录产物编码序列的第</w:t>
      </w:r>
      <w:r>
        <w:rPr>
          <w:rFonts w:ascii="Times New Roman"/>
          <w:color w:val="000000"/>
          <w:spacing w:val="-1"/>
          <w:sz w:val="21"/>
        </w:rPr>
        <w:t xml:space="preserve"> </w:t>
      </w:r>
      <w:r>
        <w:rPr>
          <w:rFonts w:ascii="Times New Roman"/>
          <w:color w:val="000000"/>
          <w:spacing w:val="0"/>
          <w:sz w:val="21"/>
        </w:rPr>
        <w:t>796</w:t>
      </w:r>
      <w:r>
        <w:rPr>
          <w:rFonts w:ascii="Times New Roman"/>
          <w:color w:val="000000"/>
          <w:spacing w:val="-1"/>
          <w:sz w:val="21"/>
        </w:rPr>
        <w:t xml:space="preserve"> </w:t>
      </w:r>
      <w:r>
        <w:rPr>
          <w:rFonts w:ascii="宋体" w:hAnsi="宋体" w:cs="宋体"/>
          <w:color w:val="000000"/>
          <w:spacing w:val="0"/>
          <w:sz w:val="21"/>
        </w:rPr>
        <w:t>位突变，野生型及突变型</w:t>
      </w:r>
    </w:p>
    <w:p w14:paraId="3E0F6AC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基因转录模板链的部分碱基序列如图所示。</w:t>
      </w:r>
    </w:p>
    <w:p w14:paraId="44EB9D4A">
      <w:pPr>
        <w:spacing w:before="291" w:after="0" w:line="220" w:lineRule="exact"/>
        <w:ind w:left="0" w:right="0" w:firstLine="0"/>
        <w:jc w:val="left"/>
        <w:rPr>
          <w:rFonts w:ascii="Times New Roman"/>
          <w:color w:val="000000"/>
          <w:spacing w:val="0"/>
          <w:sz w:val="21"/>
        </w:rPr>
      </w:pPr>
      <w:r>
        <w:rPr>
          <w:rFonts w:ascii="宋体" w:hAnsi="宋体" w:cs="宋体"/>
          <w:color w:val="000000"/>
          <w:spacing w:val="0"/>
          <w:sz w:val="21"/>
        </w:rPr>
        <w:t>野生型：</w:t>
      </w:r>
    </w:p>
    <w:p w14:paraId="61FE6507">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突变型：</w:t>
      </w:r>
    </w:p>
    <w:p w14:paraId="45E1D8BF">
      <w:pPr>
        <w:spacing w:before="350" w:after="0" w:line="243" w:lineRule="exact"/>
        <w:ind w:left="0" w:right="0" w:firstLine="0"/>
        <w:jc w:val="left"/>
        <w:rPr>
          <w:rFonts w:ascii="Times New Roman"/>
          <w:color w:val="000000"/>
          <w:spacing w:val="0"/>
          <w:sz w:val="21"/>
        </w:rPr>
      </w:pPr>
      <w:r>
        <w:rPr>
          <w:rFonts w:ascii="宋体" w:hAnsi="宋体" w:cs="宋体"/>
          <w:color w:val="000000"/>
          <w:spacing w:val="3"/>
          <w:sz w:val="21"/>
        </w:rPr>
        <w:t>①该突变体第</w:t>
      </w:r>
      <w:r>
        <w:rPr>
          <w:rFonts w:ascii="Times New Roman"/>
          <w:color w:val="000000"/>
          <w:spacing w:val="0"/>
          <w:sz w:val="21"/>
        </w:rPr>
        <w:t>_____</w:t>
      </w:r>
      <w:r>
        <w:rPr>
          <w:rFonts w:ascii="宋体" w:hAnsi="宋体" w:cs="宋体"/>
          <w:color w:val="000000"/>
          <w:spacing w:val="4"/>
          <w:sz w:val="21"/>
        </w:rPr>
        <w:t>位氨基酸突变为</w:t>
      </w:r>
      <w:r>
        <w:rPr>
          <w:rFonts w:ascii="Times New Roman"/>
          <w:color w:val="000000"/>
          <w:spacing w:val="0"/>
          <w:sz w:val="21"/>
        </w:rPr>
        <w:t>_____</w:t>
      </w:r>
      <w:r>
        <w:rPr>
          <w:rFonts w:ascii="宋体" w:hAnsi="宋体" w:cs="宋体"/>
          <w:color w:val="000000"/>
          <w:spacing w:val="4"/>
          <w:sz w:val="21"/>
        </w:rPr>
        <w:t>（部分密码子及对应氨基酸：</w:t>
      </w:r>
      <w:r>
        <w:rPr>
          <w:rFonts w:ascii="Times New Roman"/>
          <w:color w:val="000000"/>
          <w:spacing w:val="0"/>
          <w:sz w:val="21"/>
        </w:rPr>
        <w:t xml:space="preserve">GCU </w:t>
      </w:r>
      <w:r>
        <w:rPr>
          <w:rFonts w:ascii="宋体" w:hAnsi="宋体" w:cs="宋体"/>
          <w:color w:val="000000"/>
          <w:spacing w:val="4"/>
          <w:sz w:val="21"/>
        </w:rPr>
        <w:t>丙氨酸，</w:t>
      </w:r>
      <w:r>
        <w:rPr>
          <w:rFonts w:ascii="Times New Roman"/>
          <w:color w:val="000000"/>
          <w:spacing w:val="0"/>
          <w:sz w:val="21"/>
        </w:rPr>
        <w:t xml:space="preserve">CUU </w:t>
      </w:r>
      <w:r>
        <w:rPr>
          <w:rFonts w:ascii="宋体" w:hAnsi="宋体" w:cs="宋体"/>
          <w:color w:val="000000"/>
          <w:spacing w:val="4"/>
          <w:sz w:val="21"/>
        </w:rPr>
        <w:t>亮氨酸，</w:t>
      </w:r>
      <w:r>
        <w:rPr>
          <w:rFonts w:ascii="Times New Roman"/>
          <w:color w:val="000000"/>
          <w:spacing w:val="0"/>
          <w:sz w:val="21"/>
        </w:rPr>
        <w:t>UUC</w:t>
      </w:r>
    </w:p>
    <w:p w14:paraId="148DD3F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苯丙氨酸，</w:t>
      </w:r>
      <w:r>
        <w:rPr>
          <w:rFonts w:ascii="Times New Roman"/>
          <w:color w:val="000000"/>
          <w:spacing w:val="0"/>
          <w:sz w:val="21"/>
        </w:rPr>
        <w:t xml:space="preserve">UCG </w:t>
      </w:r>
      <w:r>
        <w:rPr>
          <w:rFonts w:ascii="宋体" w:hAnsi="宋体" w:cs="宋体"/>
          <w:color w:val="000000"/>
          <w:spacing w:val="-21"/>
          <w:sz w:val="21"/>
        </w:rPr>
        <w:t>丝氨酸）。</w:t>
      </w:r>
    </w:p>
    <w:p w14:paraId="07A2073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②拟设计</w:t>
      </w:r>
      <w:r>
        <w:rPr>
          <w:rFonts w:ascii="Times New Roman"/>
          <w:color w:val="000000"/>
          <w:spacing w:val="0"/>
          <w:sz w:val="21"/>
        </w:rPr>
        <w:t xml:space="preserve"> PCR </w:t>
      </w:r>
      <w:r>
        <w:rPr>
          <w:rFonts w:ascii="宋体" w:hAnsi="宋体" w:cs="宋体"/>
          <w:color w:val="000000"/>
          <w:spacing w:val="0"/>
          <w:sz w:val="21"/>
        </w:rPr>
        <w:t>引物扩增该株高基因片段，以检测其他水稻是否发生该突变，应选择引物</w:t>
      </w:r>
      <w:r>
        <w:rPr>
          <w:rFonts w:ascii="Times New Roman"/>
          <w:color w:val="000000"/>
          <w:spacing w:val="0"/>
          <w:sz w:val="21"/>
        </w:rPr>
        <w:t>_____</w:t>
      </w:r>
      <w:r>
        <w:rPr>
          <w:rFonts w:ascii="宋体" w:hAnsi="宋体" w:cs="宋体"/>
          <w:color w:val="000000"/>
          <w:spacing w:val="-17"/>
          <w:sz w:val="21"/>
        </w:rPr>
        <w:t>（填序号）。</w:t>
      </w:r>
    </w:p>
    <w:p w14:paraId="004C28F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Ⅰ．</w:t>
      </w:r>
    </w:p>
    <w:p w14:paraId="0B55CC4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Ⅱ．</w:t>
      </w:r>
    </w:p>
    <w:p w14:paraId="60FE3464">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Ⅲ．</w:t>
      </w:r>
    </w:p>
    <w:p w14:paraId="3C9DF40B">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Ⅳ．</w:t>
      </w:r>
    </w:p>
    <w:p w14:paraId="242F6E60">
      <w:pPr>
        <w:spacing w:before="43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7FE7E397">
      <w:pPr>
        <w:spacing w:before="0" w:after="0" w:line="0" w:lineRule="exact"/>
        <w:ind w:left="0" w:right="0" w:firstLine="0"/>
        <w:jc w:val="left"/>
        <w:rPr>
          <w:rFonts w:ascii="Arial"/>
          <w:color w:val="FF0000"/>
          <w:spacing w:val="0"/>
          <w:sz w:val="2"/>
        </w:rPr>
      </w:pPr>
    </w:p>
    <w:p w14:paraId="2B2735E6">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4AC0425">
      <w:pPr>
        <w:sectPr>
          <w:pgSz w:w="11900" w:h="16840"/>
          <w:pgMar w:top="1908" w:right="100" w:bottom="0" w:left="1080" w:header="720" w:footer="720" w:gutter="0"/>
          <w:pgNumType w:start="1"/>
          <w:cols w:space="720" w:num="1"/>
          <w:docGrid w:linePitch="1" w:charSpace="0"/>
        </w:sectPr>
      </w:pPr>
    </w:p>
    <w:p w14:paraId="4A926FA7">
      <w:pPr>
        <w:spacing w:before="0" w:after="0" w:line="0" w:lineRule="exact"/>
        <w:ind w:left="0" w:right="0" w:firstLine="0"/>
        <w:jc w:val="left"/>
        <w:rPr>
          <w:rFonts w:ascii="Arial"/>
          <w:color w:val="FF0000"/>
          <w:spacing w:val="0"/>
          <w:sz w:val="2"/>
        </w:rPr>
      </w:pPr>
    </w:p>
    <w:p w14:paraId="1125055E">
      <w:pPr>
        <w:spacing w:before="0" w:after="0" w:line="243" w:lineRule="exact"/>
        <w:ind w:left="0" w:right="0" w:firstLine="0"/>
        <w:jc w:val="left"/>
        <w:rPr>
          <w:rFonts w:ascii="Times New Roman"/>
          <w:color w:val="000000"/>
          <w:spacing w:val="0"/>
          <w:sz w:val="21"/>
        </w:rPr>
      </w:pPr>
      <w:r>
        <w:pict>
          <v:shape id="_x000037" o:spid="_x0000_s1063" o:spt="75" type="#_x0000_t75" style="position:absolute;left:0pt;margin-left:393.6pt;margin-top:71.8pt;height:20pt;width:14.75pt;mso-position-horizontal-relative:page;mso-position-vertical-relative:page;z-index:-251657216;mso-width-relative:page;mso-height-relative:page;" filled="f" coordsize="21600,21600">
            <v:path/>
            <v:fill on="f" focussize="0,0"/>
            <v:stroke/>
            <v:imagedata r:id="rId32" o:title=""/>
            <o:lock v:ext="edit" aspectratio="t"/>
          </v:shape>
        </w:pict>
      </w:r>
      <w:r>
        <w:pict>
          <v:shape id="_x000038" o:spid="_x0000_s1064"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39" o:spid="_x0000_s106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40" o:spid="_x0000_s1066" o:spt="75" type="#_x0000_t75" style="position:absolute;left:0pt;margin-left:492.7pt;margin-top:71.8pt;height:20pt;width:16.25pt;mso-position-horizontal-relative:page;mso-position-vertical-relative:page;z-index:-251657216;mso-width-relative:page;mso-height-relative:page;" filled="f" coordsize="21600,21600">
            <v:path/>
            <v:fill on="f" focussize="0,0"/>
            <v:stroke/>
            <v:imagedata r:id="rId33" o:title=""/>
            <o:lock v:ext="edit" aspectratio="t"/>
          </v:shape>
        </w:pict>
      </w:r>
      <w:r>
        <w:pict>
          <v:shape id="_x000041" o:spid="_x0000_s1067" o:spt="75" type="#_x0000_t75" style="position:absolute;left:0pt;margin-left:244.35pt;margin-top:149.85pt;height:20pt;width:14.75pt;mso-position-horizontal-relative:page;mso-position-vertical-relative:page;z-index:-251657216;mso-width-relative:page;mso-height-relative:page;" filled="f" coordsize="21600,21600">
            <v:path/>
            <v:fill on="f" focussize="0,0"/>
            <v:stroke/>
            <v:imagedata r:id="rId25" o:title=""/>
            <o:lock v:ext="edit" aspectratio="t"/>
          </v:shape>
        </w:pict>
      </w:r>
      <w:r>
        <w:pict>
          <v:shape id="_x000042" o:spid="_x0000_s1068" o:spt="75" type="#_x0000_t75" style="position:absolute;left:0pt;margin-left:353.85pt;margin-top:149.85pt;height:20pt;width:16.25pt;mso-position-horizontal-relative:page;mso-position-vertical-relative:page;z-index:-251657216;mso-width-relative:page;mso-height-relative:page;" filled="f" coordsize="21600,21600">
            <v:path/>
            <v:fill on="f" focussize="0,0"/>
            <v:stroke/>
            <v:imagedata r:id="rId33" o:title=""/>
            <o:lock v:ext="edit" aspectratio="t"/>
          </v:shape>
        </w:pict>
      </w:r>
      <w:r>
        <w:pict>
          <v:shape id="_x000043" o:spid="_x0000_s1069" o:spt="75" type="#_x0000_t75" style="position:absolute;left:0pt;margin-left:53pt;margin-top:296.2pt;height:101.8pt;width:414.6pt;mso-position-horizontal-relative:page;mso-position-vertical-relative:page;z-index:-251657216;mso-width-relative:page;mso-height-relative:page;" filled="f" coordsize="21600,21600">
            <v:path/>
            <v:fill on="f" focussize="0,0"/>
            <v:stroke/>
            <v:imagedata r:id="rId34"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）某纯合品系乙（株高</w:t>
      </w:r>
      <w:r>
        <w:rPr>
          <w:rFonts w:ascii="Times New Roman"/>
          <w:color w:val="000000"/>
          <w:spacing w:val="0"/>
          <w:sz w:val="21"/>
        </w:rPr>
        <w:t xml:space="preserve"> 75 cm</w:t>
      </w:r>
      <w:r>
        <w:rPr>
          <w:rFonts w:ascii="宋体" w:hAnsi="宋体" w:cs="宋体"/>
          <w:color w:val="000000"/>
          <w:spacing w:val="0"/>
          <w:sz w:val="21"/>
        </w:rPr>
        <w:t>）与纯合品系甲（株高</w:t>
      </w:r>
      <w:r>
        <w:rPr>
          <w:rFonts w:ascii="Times New Roman"/>
          <w:color w:val="000000"/>
          <w:spacing w:val="0"/>
          <w:sz w:val="21"/>
        </w:rPr>
        <w:t xml:space="preserve"> 100 cm</w:t>
      </w:r>
      <w:r>
        <w:rPr>
          <w:rFonts w:ascii="宋体" w:hAnsi="宋体" w:cs="宋体"/>
          <w:color w:val="000000"/>
          <w:spacing w:val="0"/>
          <w:sz w:val="21"/>
        </w:rPr>
        <w:t>）杂交后，</w:t>
      </w:r>
      <w:r>
        <w:rPr>
          <w:rFonts w:ascii="Times New Roman"/>
          <w:color w:val="000000"/>
          <w:spacing w:val="203"/>
          <w:sz w:val="21"/>
        </w:rPr>
        <w:t xml:space="preserve"> </w:t>
      </w:r>
      <w:r>
        <w:rPr>
          <w:rFonts w:ascii="宋体" w:hAnsi="宋体" w:cs="宋体"/>
          <w:color w:val="000000"/>
          <w:spacing w:val="0"/>
          <w:sz w:val="21"/>
        </w:rPr>
        <w:t>株高均为</w:t>
      </w:r>
      <w:r>
        <w:rPr>
          <w:rFonts w:ascii="Times New Roman"/>
          <w:color w:val="000000"/>
          <w:spacing w:val="0"/>
          <w:sz w:val="21"/>
        </w:rPr>
        <w:t xml:space="preserve"> 100 cm</w:t>
      </w:r>
      <w:r>
        <w:rPr>
          <w:rFonts w:ascii="宋体" w:hAnsi="宋体" w:cs="宋体"/>
          <w:color w:val="000000"/>
          <w:spacing w:val="0"/>
          <w:sz w:val="21"/>
        </w:rPr>
        <w:t>，</w:t>
      </w:r>
      <w:r>
        <w:rPr>
          <w:rFonts w:ascii="Times New Roman"/>
          <w:color w:val="000000"/>
          <w:spacing w:val="233"/>
          <w:sz w:val="21"/>
        </w:rPr>
        <w:t xml:space="preserve"> </w:t>
      </w:r>
      <w:r>
        <w:rPr>
          <w:rFonts w:ascii="宋体" w:hAnsi="宋体" w:cs="宋体"/>
          <w:color w:val="000000"/>
          <w:spacing w:val="0"/>
          <w:sz w:val="21"/>
        </w:rPr>
        <w:t>中株高</w:t>
      </w:r>
    </w:p>
    <w:p w14:paraId="0CD58549">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 xml:space="preserve">100 cm </w:t>
      </w:r>
      <w:r>
        <w:rPr>
          <w:rFonts w:ascii="宋体" w:hAnsi="宋体" w:cs="宋体"/>
          <w:color w:val="000000"/>
          <w:spacing w:val="0"/>
          <w:sz w:val="21"/>
        </w:rPr>
        <w:t>的</w:t>
      </w:r>
      <w:r>
        <w:rPr>
          <w:rFonts w:ascii="Times New Roman"/>
          <w:color w:val="000000"/>
          <w:spacing w:val="0"/>
          <w:sz w:val="21"/>
        </w:rPr>
        <w:t xml:space="preserve"> 347 </w:t>
      </w:r>
      <w:r>
        <w:rPr>
          <w:rFonts w:ascii="宋体" w:hAnsi="宋体" w:cs="宋体"/>
          <w:color w:val="000000"/>
          <w:spacing w:val="0"/>
          <w:sz w:val="21"/>
        </w:rPr>
        <w:t>株，株高</w:t>
      </w:r>
      <w:r>
        <w:rPr>
          <w:rFonts w:ascii="Times New Roman"/>
          <w:color w:val="000000"/>
          <w:spacing w:val="0"/>
          <w:sz w:val="21"/>
        </w:rPr>
        <w:t xml:space="preserve"> 75 cm </w:t>
      </w:r>
      <w:r>
        <w:rPr>
          <w:rFonts w:ascii="宋体" w:hAnsi="宋体" w:cs="宋体"/>
          <w:color w:val="000000"/>
          <w:spacing w:val="0"/>
          <w:sz w:val="21"/>
        </w:rPr>
        <w:t>的</w:t>
      </w:r>
      <w:r>
        <w:rPr>
          <w:rFonts w:ascii="Times New Roman"/>
          <w:color w:val="000000"/>
          <w:spacing w:val="0"/>
          <w:sz w:val="21"/>
        </w:rPr>
        <w:t xml:space="preserve"> </w:t>
      </w:r>
      <w:r>
        <w:rPr>
          <w:rFonts w:ascii="Times New Roman"/>
          <w:color w:val="000000"/>
          <w:spacing w:val="-4"/>
          <w:sz w:val="21"/>
        </w:rPr>
        <w:t>114</w:t>
      </w:r>
      <w:r>
        <w:rPr>
          <w:rFonts w:ascii="Times New Roman"/>
          <w:color w:val="000000"/>
          <w:spacing w:val="4"/>
          <w:sz w:val="21"/>
        </w:rPr>
        <w:t xml:space="preserve"> </w:t>
      </w:r>
      <w:r>
        <w:rPr>
          <w:rFonts w:ascii="宋体" w:hAnsi="宋体" w:cs="宋体"/>
          <w:color w:val="000000"/>
          <w:spacing w:val="0"/>
          <w:sz w:val="21"/>
        </w:rPr>
        <w:t>株，用（</w:t>
      </w:r>
      <w:r>
        <w:rPr>
          <w:rFonts w:ascii="Times New Roman"/>
          <w:color w:val="000000"/>
          <w:spacing w:val="0"/>
          <w:sz w:val="21"/>
        </w:rPr>
        <w:t>2</w:t>
      </w:r>
      <w:r>
        <w:rPr>
          <w:rFonts w:ascii="宋体" w:hAnsi="宋体" w:cs="宋体"/>
          <w:color w:val="000000"/>
          <w:spacing w:val="0"/>
          <w:sz w:val="21"/>
        </w:rPr>
        <w:t>）中的引物和方法检测品系乙的该株高基因：</w:t>
      </w:r>
    </w:p>
    <w:p w14:paraId="0F1A8E6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①若发现与品系甲有相同突变，推测乙的基因型为</w:t>
      </w:r>
      <w:r>
        <w:rPr>
          <w:rFonts w:ascii="Times New Roman"/>
          <w:color w:val="000000"/>
          <w:spacing w:val="-1"/>
          <w:sz w:val="21"/>
        </w:rPr>
        <w:t>_____</w:t>
      </w:r>
      <w:r>
        <w:rPr>
          <w:rFonts w:ascii="宋体" w:hAnsi="宋体" w:cs="宋体"/>
          <w:color w:val="000000"/>
          <w:spacing w:val="0"/>
          <w:sz w:val="21"/>
        </w:rPr>
        <w:t>（用</w:t>
      </w:r>
      <w:r>
        <w:rPr>
          <w:rFonts w:ascii="Times New Roman"/>
          <w:color w:val="000000"/>
          <w:spacing w:val="-1"/>
          <w:sz w:val="21"/>
        </w:rPr>
        <w:t xml:space="preserve"> </w:t>
      </w:r>
      <w:r>
        <w:rPr>
          <w:rFonts w:ascii="Times New Roman"/>
          <w:color w:val="000000"/>
          <w:spacing w:val="0"/>
          <w:sz w:val="21"/>
        </w:rPr>
        <w:t>A</w:t>
      </w:r>
      <w:r>
        <w:rPr>
          <w:rFonts w:ascii="宋体" w:hAnsi="宋体" w:cs="宋体"/>
          <w:color w:val="000000"/>
          <w:spacing w:val="-5"/>
          <w:sz w:val="21"/>
        </w:rPr>
        <w:t>、</w:t>
      </w:r>
      <w:r>
        <w:rPr>
          <w:rFonts w:ascii="Times New Roman"/>
          <w:color w:val="000000"/>
          <w:spacing w:val="0"/>
          <w:sz w:val="21"/>
        </w:rPr>
        <w:t>a</w:t>
      </w:r>
      <w:r>
        <w:rPr>
          <w:rFonts w:ascii="宋体" w:hAnsi="宋体" w:cs="宋体"/>
          <w:color w:val="000000"/>
          <w:spacing w:val="-5"/>
          <w:sz w:val="21"/>
        </w:rPr>
        <w:t>；</w:t>
      </w:r>
      <w:r>
        <w:rPr>
          <w:rFonts w:ascii="Times New Roman"/>
          <w:color w:val="000000"/>
          <w:spacing w:val="0"/>
          <w:sz w:val="21"/>
        </w:rPr>
        <w:t>B</w:t>
      </w:r>
      <w:r>
        <w:rPr>
          <w:rFonts w:ascii="宋体" w:hAnsi="宋体" w:cs="宋体"/>
          <w:color w:val="000000"/>
          <w:spacing w:val="-5"/>
          <w:sz w:val="21"/>
        </w:rPr>
        <w:t>、</w:t>
      </w:r>
      <w:r>
        <w:rPr>
          <w:rFonts w:ascii="Times New Roman"/>
          <w:color w:val="000000"/>
          <w:spacing w:val="0"/>
          <w:sz w:val="21"/>
        </w:rPr>
        <w:t>b</w:t>
      </w:r>
      <w:r>
        <w:rPr>
          <w:rFonts w:ascii="宋体" w:hAnsi="宋体" w:cs="宋体"/>
          <w:color w:val="000000"/>
          <w:spacing w:val="-5"/>
          <w:sz w:val="21"/>
        </w:rPr>
        <w:t>；</w:t>
      </w:r>
      <w:r>
        <w:rPr>
          <w:rFonts w:ascii="Times New Roman"/>
          <w:color w:val="000000"/>
          <w:spacing w:val="0"/>
          <w:sz w:val="21"/>
        </w:rPr>
        <w:t>C</w:t>
      </w:r>
      <w:r>
        <w:rPr>
          <w:rFonts w:ascii="宋体" w:hAnsi="宋体" w:cs="宋体"/>
          <w:color w:val="000000"/>
          <w:spacing w:val="-5"/>
          <w:sz w:val="21"/>
        </w:rPr>
        <w:t>、</w:t>
      </w:r>
      <w:r>
        <w:rPr>
          <w:rFonts w:ascii="Times New Roman" w:hAnsi="Times New Roman" w:cs="Times New Roman"/>
          <w:color w:val="000000"/>
          <w:spacing w:val="-7"/>
          <w:sz w:val="21"/>
        </w:rPr>
        <w:t>c……</w:t>
      </w:r>
      <w:r>
        <w:rPr>
          <w:rFonts w:ascii="宋体" w:hAnsi="宋体" w:cs="宋体"/>
          <w:color w:val="000000"/>
          <w:spacing w:val="-11"/>
          <w:sz w:val="21"/>
        </w:rPr>
        <w:t>表示基因）。将品系乙</w:t>
      </w:r>
    </w:p>
    <w:p w14:paraId="088434C6">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与纯合野生品系（株高</w:t>
      </w:r>
      <w:r>
        <w:rPr>
          <w:rFonts w:ascii="Times New Roman"/>
          <w:color w:val="000000"/>
          <w:spacing w:val="0"/>
          <w:sz w:val="21"/>
        </w:rPr>
        <w:t xml:space="preserve"> 140 cm</w:t>
      </w:r>
      <w:r>
        <w:rPr>
          <w:rFonts w:ascii="宋体" w:hAnsi="宋体" w:cs="宋体"/>
          <w:color w:val="000000"/>
          <w:spacing w:val="0"/>
          <w:sz w:val="21"/>
        </w:rPr>
        <w:t>）杂交，其</w:t>
      </w:r>
      <w:r>
        <w:rPr>
          <w:rFonts w:ascii="Times New Roman"/>
          <w:color w:val="000000"/>
          <w:spacing w:val="203"/>
          <w:sz w:val="21"/>
        </w:rPr>
        <w:t xml:space="preserve"> </w:t>
      </w:r>
      <w:r>
        <w:rPr>
          <w:rFonts w:ascii="宋体" w:hAnsi="宋体" w:cs="宋体"/>
          <w:color w:val="000000"/>
          <w:spacing w:val="0"/>
          <w:sz w:val="21"/>
        </w:rPr>
        <w:t>表现为株高</w:t>
      </w:r>
      <w:r>
        <w:rPr>
          <w:rFonts w:ascii="Times New Roman"/>
          <w:color w:val="000000"/>
          <w:spacing w:val="0"/>
          <w:sz w:val="21"/>
        </w:rPr>
        <w:t xml:space="preserve"> 140 cm</w:t>
      </w:r>
      <w:r>
        <w:rPr>
          <w:rFonts w:ascii="宋体" w:hAnsi="宋体" w:cs="宋体"/>
          <w:color w:val="000000"/>
          <w:spacing w:val="0"/>
          <w:sz w:val="21"/>
        </w:rPr>
        <w:t>，</w:t>
      </w:r>
      <w:r>
        <w:rPr>
          <w:rFonts w:ascii="Times New Roman"/>
          <w:color w:val="000000"/>
          <w:spacing w:val="232"/>
          <w:sz w:val="21"/>
        </w:rPr>
        <w:t xml:space="preserve"> </w:t>
      </w:r>
      <w:r>
        <w:rPr>
          <w:rFonts w:ascii="宋体" w:hAnsi="宋体" w:cs="宋体"/>
          <w:color w:val="000000"/>
          <w:spacing w:val="0"/>
          <w:sz w:val="21"/>
        </w:rPr>
        <w:t>中株高</w:t>
      </w:r>
      <w:r>
        <w:rPr>
          <w:rFonts w:ascii="Times New Roman"/>
          <w:color w:val="000000"/>
          <w:spacing w:val="0"/>
          <w:sz w:val="21"/>
        </w:rPr>
        <w:t xml:space="preserve"> 140 cm</w:t>
      </w:r>
      <w:r>
        <w:rPr>
          <w:rFonts w:ascii="宋体" w:hAnsi="宋体" w:cs="宋体"/>
          <w:color w:val="000000"/>
          <w:spacing w:val="-1"/>
          <w:sz w:val="21"/>
        </w:rPr>
        <w:t>、</w:t>
      </w:r>
      <w:r>
        <w:rPr>
          <w:rFonts w:ascii="Times New Roman"/>
          <w:color w:val="000000"/>
          <w:spacing w:val="0"/>
          <w:sz w:val="21"/>
        </w:rPr>
        <w:t xml:space="preserve">100 cm </w:t>
      </w:r>
      <w:r>
        <w:rPr>
          <w:rFonts w:ascii="宋体" w:hAnsi="宋体" w:cs="宋体"/>
          <w:color w:val="000000"/>
          <w:spacing w:val="0"/>
          <w:sz w:val="21"/>
        </w:rPr>
        <w:t>和</w:t>
      </w:r>
      <w:r>
        <w:rPr>
          <w:rFonts w:ascii="Times New Roman"/>
          <w:color w:val="000000"/>
          <w:spacing w:val="0"/>
          <w:sz w:val="21"/>
        </w:rPr>
        <w:t xml:space="preserve"> 75 cm </w:t>
      </w:r>
      <w:r>
        <w:rPr>
          <w:rFonts w:ascii="宋体" w:hAnsi="宋体" w:cs="宋体"/>
          <w:color w:val="000000"/>
          <w:spacing w:val="0"/>
          <w:sz w:val="21"/>
        </w:rPr>
        <w:t>三种</w:t>
      </w:r>
    </w:p>
    <w:p w14:paraId="1247C604">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表型的数量比约为</w:t>
      </w:r>
      <w:r>
        <w:rPr>
          <w:rFonts w:ascii="Times New Roman"/>
          <w:color w:val="000000"/>
          <w:spacing w:val="0"/>
          <w:sz w:val="21"/>
        </w:rPr>
        <w:t xml:space="preserve"> 9</w:t>
      </w:r>
      <w:r>
        <w:rPr>
          <w:rFonts w:ascii="宋体" w:hAnsi="宋体" w:cs="宋体"/>
          <w:color w:val="000000"/>
          <w:spacing w:val="0"/>
          <w:sz w:val="21"/>
        </w:rPr>
        <w:t>∶</w:t>
      </w:r>
      <w:r>
        <w:rPr>
          <w:rFonts w:ascii="Times New Roman"/>
          <w:color w:val="000000"/>
          <w:spacing w:val="0"/>
          <w:sz w:val="21"/>
        </w:rPr>
        <w:t>6</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，推测所涉及基因的位置关系是</w:t>
      </w:r>
      <w:r>
        <w:rPr>
          <w:rFonts w:ascii="Times New Roman"/>
          <w:color w:val="000000"/>
          <w:spacing w:val="0"/>
          <w:sz w:val="21"/>
        </w:rPr>
        <w:t>_____________________________________</w:t>
      </w:r>
      <w:r>
        <w:rPr>
          <w:rFonts w:ascii="宋体" w:hAnsi="宋体" w:cs="宋体"/>
          <w:color w:val="000000"/>
          <w:spacing w:val="0"/>
          <w:sz w:val="21"/>
        </w:rPr>
        <w:t>。</w:t>
      </w:r>
    </w:p>
    <w:p w14:paraId="76B0F1C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②若发现与品系甲无相同突变，则品系乙形成的原因是</w:t>
      </w:r>
      <w:r>
        <w:rPr>
          <w:rFonts w:ascii="Times New Roman"/>
          <w:color w:val="000000"/>
          <w:spacing w:val="0"/>
          <w:sz w:val="21"/>
        </w:rPr>
        <w:t>__________________________________________</w:t>
      </w:r>
      <w:r>
        <w:rPr>
          <w:rFonts w:ascii="宋体" w:hAnsi="宋体" w:cs="宋体"/>
          <w:color w:val="000000"/>
          <w:spacing w:val="0"/>
          <w:sz w:val="21"/>
        </w:rPr>
        <w:t>。</w:t>
      </w:r>
    </w:p>
    <w:p w14:paraId="10663BC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4"/>
          <w:sz w:val="21"/>
        </w:rPr>
        <w:t xml:space="preserve"> </w:t>
      </w:r>
      <w:r>
        <w:rPr>
          <w:rFonts w:ascii="宋体" w:hAnsi="宋体" w:cs="宋体"/>
          <w:color w:val="000000"/>
          <w:spacing w:val="2"/>
          <w:sz w:val="21"/>
        </w:rPr>
        <w:t>调节性</w:t>
      </w:r>
      <w:r>
        <w:rPr>
          <w:rFonts w:ascii="Times New Roman"/>
          <w:color w:val="000000"/>
          <w:spacing w:val="0"/>
          <w:sz w:val="21"/>
        </w:rPr>
        <w:t xml:space="preserve"> T </w:t>
      </w:r>
      <w:r>
        <w:rPr>
          <w:rFonts w:ascii="宋体" w:hAnsi="宋体" w:cs="宋体"/>
          <w:color w:val="000000"/>
          <w:spacing w:val="2"/>
          <w:sz w:val="21"/>
        </w:rPr>
        <w:t>细胞（</w:t>
      </w:r>
      <w:r>
        <w:rPr>
          <w:rFonts w:ascii="Times New Roman"/>
          <w:color w:val="000000"/>
          <w:spacing w:val="-2"/>
          <w:sz w:val="21"/>
        </w:rPr>
        <w:t>Treg</w:t>
      </w:r>
      <w:r>
        <w:rPr>
          <w:rFonts w:ascii="Times New Roman"/>
          <w:color w:val="000000"/>
          <w:spacing w:val="2"/>
          <w:sz w:val="21"/>
        </w:rPr>
        <w:t xml:space="preserve"> </w:t>
      </w:r>
      <w:r>
        <w:rPr>
          <w:rFonts w:ascii="宋体" w:hAnsi="宋体" w:cs="宋体"/>
          <w:color w:val="000000"/>
          <w:spacing w:val="2"/>
          <w:sz w:val="21"/>
        </w:rPr>
        <w:t>细胞）是一类免疫抑制型</w:t>
      </w:r>
      <w:r>
        <w:rPr>
          <w:rFonts w:ascii="Times New Roman"/>
          <w:color w:val="000000"/>
          <w:spacing w:val="1"/>
          <w:sz w:val="21"/>
        </w:rPr>
        <w:t xml:space="preserve"> </w:t>
      </w:r>
      <w:r>
        <w:rPr>
          <w:rFonts w:ascii="Times New Roman"/>
          <w:color w:val="000000"/>
          <w:spacing w:val="0"/>
          <w:sz w:val="21"/>
        </w:rPr>
        <w:t xml:space="preserve">T </w:t>
      </w:r>
      <w:r>
        <w:rPr>
          <w:rFonts w:ascii="宋体" w:hAnsi="宋体" w:cs="宋体"/>
          <w:color w:val="000000"/>
          <w:spacing w:val="2"/>
          <w:sz w:val="21"/>
        </w:rPr>
        <w:t>细胞亚群，参与免疫稳态维持。科研人员设计了一种</w:t>
      </w:r>
    </w:p>
    <w:p w14:paraId="6009C295">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由类转化生长因子-β（</w:t>
      </w:r>
      <w:r>
        <w:rPr>
          <w:rFonts w:ascii="Times New Roman"/>
          <w:color w:val="000000"/>
          <w:spacing w:val="0"/>
          <w:sz w:val="21"/>
        </w:rPr>
        <w:t>TGM1</w:t>
      </w:r>
      <w:r>
        <w:rPr>
          <w:rFonts w:ascii="宋体" w:hAnsi="宋体" w:cs="宋体"/>
          <w:color w:val="000000"/>
          <w:spacing w:val="1"/>
          <w:sz w:val="21"/>
        </w:rPr>
        <w:t>）和白细胞介素</w:t>
      </w:r>
      <w:r>
        <w:rPr>
          <w:rFonts w:ascii="Times New Roman"/>
          <w:color w:val="000000"/>
          <w:spacing w:val="0"/>
          <w:sz w:val="21"/>
        </w:rPr>
        <w:t>-2</w:t>
      </w:r>
      <w:r>
        <w:rPr>
          <w:rFonts w:ascii="宋体" w:hAnsi="宋体" w:cs="宋体"/>
          <w:color w:val="000000"/>
          <w:spacing w:val="1"/>
          <w:sz w:val="21"/>
        </w:rPr>
        <w:t>（</w:t>
      </w:r>
      <w:r>
        <w:rPr>
          <w:rFonts w:ascii="Times New Roman"/>
          <w:color w:val="000000"/>
          <w:spacing w:val="0"/>
          <w:sz w:val="21"/>
        </w:rPr>
        <w:t>IL-2</w:t>
      </w:r>
      <w:r>
        <w:rPr>
          <w:rFonts w:ascii="宋体" w:hAnsi="宋体" w:cs="宋体"/>
          <w:color w:val="000000"/>
          <w:spacing w:val="1"/>
          <w:sz w:val="21"/>
        </w:rPr>
        <w:t>）组成的融合蛋白，利用小鼠模型研究其对</w:t>
      </w:r>
      <w:r>
        <w:rPr>
          <w:rFonts w:ascii="Times New Roman"/>
          <w:color w:val="000000"/>
          <w:spacing w:val="1"/>
          <w:sz w:val="21"/>
        </w:rPr>
        <w:t xml:space="preserve"> </w:t>
      </w:r>
      <w:r>
        <w:rPr>
          <w:rFonts w:ascii="Times New Roman"/>
          <w:color w:val="000000"/>
          <w:spacing w:val="-2"/>
          <w:sz w:val="21"/>
        </w:rPr>
        <w:t>Treg</w:t>
      </w:r>
      <w:r>
        <w:rPr>
          <w:rFonts w:ascii="Times New Roman"/>
          <w:color w:val="000000"/>
          <w:spacing w:val="2"/>
          <w:sz w:val="21"/>
        </w:rPr>
        <w:t xml:space="preserve"> </w:t>
      </w:r>
      <w:r>
        <w:rPr>
          <w:rFonts w:ascii="宋体" w:hAnsi="宋体" w:cs="宋体"/>
          <w:color w:val="000000"/>
          <w:spacing w:val="0"/>
          <w:sz w:val="21"/>
        </w:rPr>
        <w:t>细</w:t>
      </w:r>
    </w:p>
    <w:p w14:paraId="52659E6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胞介导的肺部过敏性炎症抵抗的作用，部分研究过程和结果如图所示。回答下列问题：</w:t>
      </w:r>
    </w:p>
    <w:p w14:paraId="2216EBC5">
      <w:pPr>
        <w:spacing w:before="242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）体内</w:t>
      </w:r>
      <w:r>
        <w:rPr>
          <w:rFonts w:ascii="Times New Roman"/>
          <w:color w:val="000000"/>
          <w:spacing w:val="0"/>
          <w:sz w:val="21"/>
        </w:rPr>
        <w:t xml:space="preserve"> </w:t>
      </w:r>
      <w:r>
        <w:rPr>
          <w:rFonts w:ascii="Times New Roman"/>
          <w:color w:val="000000"/>
          <w:spacing w:val="-2"/>
          <w:sz w:val="21"/>
        </w:rPr>
        <w:t>Treg</w:t>
      </w:r>
      <w:r>
        <w:rPr>
          <w:rFonts w:ascii="Times New Roman"/>
          <w:color w:val="000000"/>
          <w:spacing w:val="2"/>
          <w:sz w:val="21"/>
        </w:rPr>
        <w:t xml:space="preserve"> </w:t>
      </w:r>
      <w:r>
        <w:rPr>
          <w:rFonts w:ascii="宋体" w:hAnsi="宋体" w:cs="宋体"/>
          <w:color w:val="000000"/>
          <w:spacing w:val="0"/>
          <w:sz w:val="21"/>
        </w:rPr>
        <w:t>细胞分化成熟的主要场所是</w:t>
      </w:r>
      <w:r>
        <w:rPr>
          <w:rFonts w:ascii="Times New Roman"/>
          <w:color w:val="000000"/>
          <w:spacing w:val="0"/>
          <w:sz w:val="21"/>
        </w:rPr>
        <w:t>_____</w:t>
      </w:r>
      <w:r>
        <w:rPr>
          <w:rFonts w:ascii="宋体" w:hAnsi="宋体" w:cs="宋体"/>
          <w:color w:val="000000"/>
          <w:spacing w:val="0"/>
          <w:sz w:val="21"/>
        </w:rPr>
        <w:t>。鼻腔滴注</w:t>
      </w:r>
      <w:r>
        <w:rPr>
          <w:rFonts w:ascii="Times New Roman"/>
          <w:color w:val="000000"/>
          <w:spacing w:val="0"/>
          <w:sz w:val="21"/>
        </w:rPr>
        <w:t xml:space="preserve"> </w:t>
      </w:r>
      <w:r>
        <w:rPr>
          <w:rFonts w:ascii="Times New Roman"/>
          <w:color w:val="000000"/>
          <w:spacing w:val="-9"/>
          <w:sz w:val="21"/>
        </w:rPr>
        <w:t>OVA</w:t>
      </w:r>
      <w:r>
        <w:rPr>
          <w:rFonts w:ascii="Times New Roman"/>
          <w:color w:val="000000"/>
          <w:spacing w:val="9"/>
          <w:sz w:val="21"/>
        </w:rPr>
        <w:t xml:space="preserve"> </w:t>
      </w:r>
      <w:r>
        <w:rPr>
          <w:rFonts w:ascii="宋体" w:hAnsi="宋体" w:cs="宋体"/>
          <w:color w:val="000000"/>
          <w:spacing w:val="0"/>
          <w:sz w:val="21"/>
        </w:rPr>
        <w:t>的目的是</w:t>
      </w:r>
    </w:p>
    <w:p w14:paraId="0CD47B8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w:t>
      </w:r>
      <w:r>
        <w:rPr>
          <w:rFonts w:ascii="宋体" w:hAnsi="宋体" w:cs="宋体"/>
          <w:color w:val="000000"/>
          <w:spacing w:val="0"/>
          <w:sz w:val="21"/>
        </w:rPr>
        <w:t>。</w:t>
      </w:r>
    </w:p>
    <w:p w14:paraId="7411157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）为使静息辅助性</w:t>
      </w:r>
      <w:r>
        <w:rPr>
          <w:rFonts w:ascii="Times New Roman"/>
          <w:color w:val="000000"/>
          <w:spacing w:val="0"/>
          <w:sz w:val="21"/>
        </w:rPr>
        <w:t xml:space="preserve"> T </w:t>
      </w:r>
      <w:r>
        <w:rPr>
          <w:rFonts w:ascii="宋体" w:hAnsi="宋体" w:cs="宋体"/>
          <w:color w:val="000000"/>
          <w:spacing w:val="0"/>
          <w:sz w:val="21"/>
        </w:rPr>
        <w:t>细胞能特异性识别</w:t>
      </w:r>
      <w:r>
        <w:rPr>
          <w:rFonts w:ascii="Times New Roman"/>
          <w:color w:val="000000"/>
          <w:spacing w:val="0"/>
          <w:sz w:val="21"/>
        </w:rPr>
        <w:t xml:space="preserve"> </w:t>
      </w:r>
      <w:r>
        <w:rPr>
          <w:rFonts w:ascii="Times New Roman"/>
          <w:color w:val="000000"/>
          <w:spacing w:val="-9"/>
          <w:sz w:val="21"/>
        </w:rPr>
        <w:t>OVA</w:t>
      </w:r>
      <w:r>
        <w:rPr>
          <w:rFonts w:ascii="宋体" w:hAnsi="宋体" w:cs="宋体"/>
          <w:color w:val="000000"/>
          <w:spacing w:val="0"/>
          <w:sz w:val="21"/>
        </w:rPr>
        <w:t>，需在该细胞中预先导入</w:t>
      </w:r>
      <w:r>
        <w:rPr>
          <w:rFonts w:ascii="Times New Roman"/>
          <w:color w:val="000000"/>
          <w:spacing w:val="0"/>
          <w:sz w:val="21"/>
        </w:rPr>
        <w:t>___________________</w:t>
      </w:r>
      <w:r>
        <w:rPr>
          <w:rFonts w:ascii="宋体" w:hAnsi="宋体" w:cs="宋体"/>
          <w:color w:val="000000"/>
          <w:spacing w:val="0"/>
          <w:sz w:val="21"/>
        </w:rPr>
        <w:t>基因。据图</w:t>
      </w:r>
    </w:p>
    <w:p w14:paraId="1A751CB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分析，可以得出的结论是</w:t>
      </w:r>
      <w:r>
        <w:rPr>
          <w:rFonts w:ascii="Times New Roman"/>
          <w:color w:val="000000"/>
          <w:spacing w:val="0"/>
          <w:sz w:val="21"/>
        </w:rPr>
        <w:t>______________________________________________________________</w:t>
      </w:r>
      <w:r>
        <w:rPr>
          <w:rFonts w:ascii="宋体" w:hAnsi="宋体" w:cs="宋体"/>
          <w:color w:val="000000"/>
          <w:spacing w:val="0"/>
          <w:sz w:val="21"/>
        </w:rPr>
        <w:t>。</w:t>
      </w:r>
    </w:p>
    <w:p w14:paraId="7BEFF43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2"/>
          <w:sz w:val="21"/>
        </w:rPr>
        <w:t>）若要证明该研究中融合蛋白构建的必要性，应增加三个实验组，即将体内注射的</w:t>
      </w:r>
      <w:r>
        <w:rPr>
          <w:rFonts w:ascii="Times New Roman"/>
          <w:color w:val="000000"/>
          <w:spacing w:val="-4"/>
          <w:sz w:val="21"/>
        </w:rPr>
        <w:t xml:space="preserve"> </w:t>
      </w:r>
      <w:r>
        <w:rPr>
          <w:rFonts w:ascii="Times New Roman"/>
          <w:color w:val="000000"/>
          <w:spacing w:val="0"/>
          <w:sz w:val="21"/>
        </w:rPr>
        <w:t>TGM1-IL-2</w:t>
      </w:r>
      <w:r>
        <w:rPr>
          <w:rFonts w:ascii="Times New Roman"/>
          <w:color w:val="000000"/>
          <w:spacing w:val="-6"/>
          <w:sz w:val="21"/>
        </w:rPr>
        <w:t xml:space="preserve"> </w:t>
      </w:r>
      <w:r>
        <w:rPr>
          <w:rFonts w:ascii="宋体" w:hAnsi="宋体" w:cs="宋体"/>
          <w:color w:val="000000"/>
          <w:spacing w:val="0"/>
          <w:sz w:val="21"/>
        </w:rPr>
        <w:t>融合蛋白</w:t>
      </w:r>
    </w:p>
    <w:p w14:paraId="41CB7B5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分别替换为</w:t>
      </w:r>
      <w:r>
        <w:rPr>
          <w:rFonts w:ascii="Times New Roman"/>
          <w:color w:val="000000"/>
          <w:spacing w:val="0"/>
          <w:sz w:val="21"/>
        </w:rPr>
        <w:t>___________________________________________________</w:t>
      </w:r>
      <w:r>
        <w:rPr>
          <w:rFonts w:ascii="宋体" w:hAnsi="宋体" w:cs="宋体"/>
          <w:color w:val="000000"/>
          <w:spacing w:val="0"/>
          <w:sz w:val="21"/>
        </w:rPr>
        <w:t>，其他处理条件不变。</w:t>
      </w:r>
    </w:p>
    <w:p w14:paraId="3C1795C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2"/>
          <w:sz w:val="21"/>
        </w:rPr>
        <w:t>）将</w:t>
      </w:r>
      <w:r>
        <w:rPr>
          <w:rFonts w:ascii="Times New Roman"/>
          <w:color w:val="000000"/>
          <w:spacing w:val="2"/>
          <w:sz w:val="21"/>
        </w:rPr>
        <w:t xml:space="preserve"> </w:t>
      </w:r>
      <w:r>
        <w:rPr>
          <w:rFonts w:ascii="Times New Roman"/>
          <w:color w:val="000000"/>
          <w:spacing w:val="0"/>
          <w:sz w:val="21"/>
        </w:rPr>
        <w:t xml:space="preserve">TGM1-IL-2 </w:t>
      </w:r>
      <w:r>
        <w:rPr>
          <w:rFonts w:ascii="宋体" w:hAnsi="宋体" w:cs="宋体"/>
          <w:color w:val="000000"/>
          <w:spacing w:val="0"/>
          <w:sz w:val="21"/>
        </w:rPr>
        <w:t>融合蛋白进行改造，使其中的</w:t>
      </w:r>
      <w:r>
        <w:rPr>
          <w:rFonts w:ascii="Times New Roman"/>
          <w:color w:val="000000"/>
          <w:spacing w:val="-1"/>
          <w:sz w:val="21"/>
        </w:rPr>
        <w:t xml:space="preserve"> </w:t>
      </w:r>
      <w:r>
        <w:rPr>
          <w:rFonts w:ascii="Times New Roman"/>
          <w:color w:val="000000"/>
          <w:spacing w:val="0"/>
          <w:sz w:val="21"/>
        </w:rPr>
        <w:t>IL-2</w:t>
      </w:r>
      <w:r>
        <w:rPr>
          <w:rFonts w:ascii="Times New Roman"/>
          <w:color w:val="000000"/>
          <w:spacing w:val="-1"/>
          <w:sz w:val="21"/>
        </w:rPr>
        <w:t xml:space="preserve"> </w:t>
      </w:r>
      <w:r>
        <w:rPr>
          <w:rFonts w:ascii="宋体" w:hAnsi="宋体" w:cs="宋体"/>
          <w:color w:val="000000"/>
          <w:spacing w:val="0"/>
          <w:sz w:val="21"/>
        </w:rPr>
        <w:t>失去向细胞内传递信号的能力，但保留与</w:t>
      </w:r>
      <w:r>
        <w:rPr>
          <w:rFonts w:ascii="Times New Roman"/>
          <w:color w:val="000000"/>
          <w:spacing w:val="-1"/>
          <w:sz w:val="21"/>
        </w:rPr>
        <w:t xml:space="preserve"> </w:t>
      </w:r>
      <w:r>
        <w:rPr>
          <w:rFonts w:ascii="Times New Roman"/>
          <w:color w:val="000000"/>
          <w:spacing w:val="-2"/>
          <w:sz w:val="21"/>
        </w:rPr>
        <w:t>Treg</w:t>
      </w:r>
      <w:r>
        <w:rPr>
          <w:rFonts w:ascii="Times New Roman"/>
          <w:color w:val="000000"/>
          <w:spacing w:val="2"/>
          <w:sz w:val="21"/>
        </w:rPr>
        <w:t xml:space="preserve"> </w:t>
      </w:r>
      <w:r>
        <w:rPr>
          <w:rFonts w:ascii="宋体" w:hAnsi="宋体" w:cs="宋体"/>
          <w:color w:val="000000"/>
          <w:spacing w:val="0"/>
          <w:sz w:val="21"/>
        </w:rPr>
        <w:t>细胞</w:t>
      </w:r>
    </w:p>
    <w:p w14:paraId="10FB8D3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膜上受体结合的能力。结合图</w:t>
      </w:r>
      <w:r>
        <w:rPr>
          <w:rFonts w:ascii="Times New Roman"/>
          <w:color w:val="000000"/>
          <w:spacing w:val="0"/>
          <w:sz w:val="21"/>
        </w:rPr>
        <w:t xml:space="preserve"> c </w:t>
      </w:r>
      <w:r>
        <w:rPr>
          <w:rFonts w:ascii="宋体" w:hAnsi="宋体" w:cs="宋体"/>
          <w:color w:val="000000"/>
          <w:spacing w:val="0"/>
          <w:sz w:val="21"/>
        </w:rPr>
        <w:t>分析，设计该实验的目的是证明</w:t>
      </w:r>
      <w:r>
        <w:rPr>
          <w:rFonts w:ascii="Times New Roman"/>
          <w:color w:val="000000"/>
          <w:spacing w:val="0"/>
          <w:sz w:val="21"/>
        </w:rPr>
        <w:t>_________________________________</w:t>
      </w:r>
      <w:r>
        <w:rPr>
          <w:rFonts w:ascii="宋体" w:hAnsi="宋体" w:cs="宋体"/>
          <w:color w:val="000000"/>
          <w:spacing w:val="0"/>
          <w:sz w:val="21"/>
        </w:rPr>
        <w:t>为</w:t>
      </w:r>
    </w:p>
    <w:p w14:paraId="3CF9F43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TGM1-IL-2 </w:t>
      </w:r>
      <w:r>
        <w:rPr>
          <w:rFonts w:ascii="宋体" w:hAnsi="宋体" w:cs="宋体"/>
          <w:color w:val="000000"/>
          <w:spacing w:val="0"/>
          <w:sz w:val="21"/>
        </w:rPr>
        <w:t>融合蛋白抵抗肺部过敏性炎症的关键因素。</w:t>
      </w:r>
    </w:p>
    <w:p w14:paraId="5AD3AC1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0"/>
          <w:sz w:val="21"/>
        </w:rPr>
        <w:t>阿尔茨海默病患者大脑中</w:t>
      </w:r>
      <w:r>
        <w:rPr>
          <w:rFonts w:ascii="Times New Roman" w:hAnsi="Times New Roman" w:cs="Times New Roman"/>
          <w:color w:val="000000"/>
          <w:spacing w:val="0"/>
          <w:sz w:val="21"/>
        </w:rPr>
        <w:t>β-</w:t>
      </w:r>
      <w:r>
        <w:rPr>
          <w:rFonts w:ascii="宋体" w:hAnsi="宋体" w:cs="宋体"/>
          <w:color w:val="000000"/>
          <w:spacing w:val="0"/>
          <w:sz w:val="21"/>
        </w:rPr>
        <w:t>淀粉样蛋白（</w:t>
      </w:r>
      <w:r>
        <w:rPr>
          <w:rFonts w:ascii="Times New Roman" w:hAnsi="Times New Roman" w:cs="Times New Roman"/>
          <w:color w:val="000000"/>
          <w:spacing w:val="0"/>
          <w:sz w:val="21"/>
        </w:rPr>
        <w:t>Aβ</w:t>
      </w:r>
      <w:r>
        <w:rPr>
          <w:rFonts w:ascii="宋体" w:hAnsi="宋体" w:cs="宋体"/>
          <w:color w:val="000000"/>
          <w:spacing w:val="0"/>
          <w:sz w:val="21"/>
        </w:rPr>
        <w:t>）异常聚集，损伤神经元。为了探索治疗该疾病的新方法，</w:t>
      </w:r>
    </w:p>
    <w:p w14:paraId="6EBDDE0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研究人员合成了一种嵌合抗原受体（</w:t>
      </w:r>
      <w:r>
        <w:rPr>
          <w:rFonts w:ascii="Times New Roman"/>
          <w:color w:val="000000"/>
          <w:spacing w:val="0"/>
          <w:sz w:val="21"/>
        </w:rPr>
        <w:t>CAR</w:t>
      </w:r>
      <w:r>
        <w:rPr>
          <w:rFonts w:ascii="宋体" w:hAnsi="宋体" w:cs="宋体"/>
          <w:color w:val="000000"/>
          <w:spacing w:val="0"/>
          <w:sz w:val="21"/>
        </w:rPr>
        <w:t>）基因，使其在星形胶质细胞中特异性表达，形成</w:t>
      </w:r>
      <w:r>
        <w:rPr>
          <w:rFonts w:ascii="Times New Roman"/>
          <w:color w:val="000000"/>
          <w:spacing w:val="0"/>
          <w:sz w:val="21"/>
        </w:rPr>
        <w:t xml:space="preserve"> CAR-A </w:t>
      </w:r>
      <w:r>
        <w:rPr>
          <w:rFonts w:ascii="宋体" w:hAnsi="宋体" w:cs="宋体"/>
          <w:color w:val="000000"/>
          <w:spacing w:val="0"/>
          <w:sz w:val="21"/>
        </w:rPr>
        <w:t>细胞，</w:t>
      </w:r>
    </w:p>
    <w:p w14:paraId="3B78E89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并鉴定了这种细胞特异性识别、吞噬和降解</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聚集体的能力。回答下列问题：</w:t>
      </w:r>
    </w:p>
    <w:p w14:paraId="7F0A5EF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0"/>
          <w:sz w:val="21"/>
        </w:rPr>
        <w:t xml:space="preserve">CAR </w:t>
      </w:r>
      <w:r>
        <w:rPr>
          <w:rFonts w:ascii="宋体" w:hAnsi="宋体" w:cs="宋体"/>
          <w:color w:val="000000"/>
          <w:spacing w:val="0"/>
          <w:sz w:val="21"/>
        </w:rPr>
        <w:t>基因和病毒载体的部分结构（含限制酶切割位点）分别如图</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所示。</w:t>
      </w:r>
    </w:p>
    <w:p w14:paraId="7F2C8B18">
      <w:pPr>
        <w:spacing w:before="1357"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7C1621F5">
      <w:pPr>
        <w:spacing w:before="0" w:after="0" w:line="0" w:lineRule="exact"/>
        <w:ind w:left="0" w:right="0" w:firstLine="0"/>
        <w:jc w:val="left"/>
        <w:rPr>
          <w:rFonts w:ascii="Arial"/>
          <w:color w:val="FF0000"/>
          <w:spacing w:val="0"/>
          <w:sz w:val="2"/>
        </w:rPr>
      </w:pPr>
    </w:p>
    <w:p w14:paraId="73A5735E">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A0977D0">
      <w:pPr>
        <w:sectPr>
          <w:pgSz w:w="11900" w:h="16840"/>
          <w:pgMar w:top="1518" w:right="100" w:bottom="0" w:left="1080" w:header="720" w:footer="720" w:gutter="0"/>
          <w:pgNumType w:start="1"/>
          <w:cols w:space="720" w:num="1"/>
          <w:docGrid w:linePitch="1" w:charSpace="0"/>
        </w:sectPr>
      </w:pPr>
    </w:p>
    <w:p w14:paraId="256C8541">
      <w:pPr>
        <w:spacing w:before="0" w:after="0" w:line="0" w:lineRule="exact"/>
        <w:ind w:left="0" w:right="0" w:firstLine="0"/>
        <w:jc w:val="left"/>
        <w:rPr>
          <w:rFonts w:ascii="Arial"/>
          <w:color w:val="FF0000"/>
          <w:spacing w:val="0"/>
          <w:sz w:val="2"/>
        </w:rPr>
      </w:pPr>
      <w:bookmarkStart w:id="0" w:name="_GoBack"/>
      <w:bookmarkEnd w:id="0"/>
    </w:p>
    <w:p w14:paraId="11D72019">
      <w:pPr>
        <w:spacing w:before="0" w:after="0" w:line="243" w:lineRule="exact"/>
        <w:ind w:left="0" w:right="0" w:firstLine="0"/>
        <w:jc w:val="left"/>
        <w:rPr>
          <w:rFonts w:ascii="Times New Roman"/>
          <w:color w:val="000000"/>
          <w:spacing w:val="0"/>
          <w:sz w:val="21"/>
        </w:rPr>
      </w:pPr>
      <w:r>
        <w:pict>
          <v:shape id="_x000044" o:spid="_x0000_s1070" o:spt="75" type="#_x0000_t75" style="position:absolute;left:0pt;margin-left:53pt;margin-top:67.3pt;height:75.55pt;width:414.6pt;mso-position-horizontal-relative:page;mso-position-vertical-relative:page;z-index:-251657216;mso-width-relative:page;mso-height-relative:page;" filled="f" coordsize="21600,21600">
            <v:path/>
            <v:fill on="f" focussize="0,0"/>
            <v:stroke/>
            <v:imagedata r:id="rId35" o:title=""/>
            <o:lock v:ext="edit" aspectratio="t"/>
          </v:shape>
        </w:pict>
      </w:r>
      <w:r>
        <w:pict>
          <v:shape id="_x000045" o:spid="_x0000_s1071"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46" o:spid="_x0000_s107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宋体" w:hAnsi="宋体" w:cs="宋体"/>
          <w:color w:val="000000"/>
          <w:spacing w:val="0"/>
          <w:sz w:val="21"/>
        </w:rPr>
        <w:t>①胞外识别区应选用</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聚集体的</w:t>
      </w:r>
      <w:r>
        <w:rPr>
          <w:rFonts w:ascii="Times New Roman"/>
          <w:color w:val="000000"/>
          <w:spacing w:val="0"/>
          <w:sz w:val="21"/>
        </w:rPr>
        <w:t>________</w:t>
      </w:r>
      <w:r>
        <w:rPr>
          <w:rFonts w:ascii="宋体" w:hAnsi="宋体" w:cs="宋体"/>
          <w:color w:val="000000"/>
          <w:spacing w:val="0"/>
          <w:sz w:val="21"/>
        </w:rPr>
        <w:t>（填</w:t>
      </w:r>
      <w:r>
        <w:rPr>
          <w:rFonts w:ascii="Times New Roman" w:hAnsi="Times New Roman" w:cs="Times New Roman"/>
          <w:color w:val="000000"/>
          <w:spacing w:val="0"/>
          <w:sz w:val="21"/>
        </w:rPr>
        <w:t>“</w:t>
      </w:r>
      <w:r>
        <w:rPr>
          <w:rFonts w:ascii="宋体" w:hAnsi="宋体" w:cs="宋体"/>
          <w:color w:val="000000"/>
          <w:spacing w:val="0"/>
          <w:sz w:val="21"/>
        </w:rPr>
        <w:t>抗原</w:t>
      </w:r>
      <w:r>
        <w:rPr>
          <w:rFonts w:ascii="Times New Roman" w:hAnsi="Times New Roman" w:cs="Times New Roman"/>
          <w:color w:val="000000"/>
          <w:spacing w:val="0"/>
          <w:sz w:val="21"/>
        </w:rPr>
        <w:t>”</w:t>
      </w:r>
      <w:r>
        <w:rPr>
          <w:rFonts w:ascii="宋体" w:hAnsi="宋体" w:cs="宋体"/>
          <w:color w:val="000000"/>
          <w:spacing w:val="0"/>
          <w:sz w:val="21"/>
        </w:rPr>
        <w:t>或</w:t>
      </w:r>
      <w:r>
        <w:rPr>
          <w:rFonts w:ascii="Times New Roman" w:hAnsi="Times New Roman" w:cs="Times New Roman"/>
          <w:color w:val="000000"/>
          <w:spacing w:val="0"/>
          <w:sz w:val="21"/>
        </w:rPr>
        <w:t>“</w:t>
      </w:r>
      <w:r>
        <w:rPr>
          <w:rFonts w:ascii="宋体" w:hAnsi="宋体" w:cs="宋体"/>
          <w:color w:val="000000"/>
          <w:spacing w:val="0"/>
          <w:sz w:val="21"/>
        </w:rPr>
        <w:t>抗体</w:t>
      </w:r>
      <w:r>
        <w:rPr>
          <w:rFonts w:ascii="Times New Roman" w:hAnsi="Times New Roman" w:cs="Times New Roman"/>
          <w:color w:val="000000"/>
          <w:spacing w:val="0"/>
          <w:sz w:val="21"/>
        </w:rPr>
        <w:t>”</w:t>
      </w:r>
      <w:r>
        <w:rPr>
          <w:rFonts w:ascii="宋体" w:hAnsi="宋体" w:cs="宋体"/>
          <w:color w:val="000000"/>
          <w:spacing w:val="0"/>
          <w:sz w:val="21"/>
        </w:rPr>
        <w:t>）特定片段编码序列。</w:t>
      </w:r>
    </w:p>
    <w:p w14:paraId="428459C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②采用特异性启动子的目的是</w:t>
      </w:r>
      <w:r>
        <w:rPr>
          <w:rFonts w:ascii="Times New Roman"/>
          <w:color w:val="000000"/>
          <w:spacing w:val="0"/>
          <w:sz w:val="21"/>
        </w:rPr>
        <w:t>________________________________________</w:t>
      </w:r>
      <w:r>
        <w:rPr>
          <w:rFonts w:ascii="宋体" w:hAnsi="宋体" w:cs="宋体"/>
          <w:color w:val="000000"/>
          <w:spacing w:val="-4"/>
          <w:sz w:val="21"/>
        </w:rPr>
        <w:t>。同时，为使该</w:t>
      </w:r>
      <w:r>
        <w:rPr>
          <w:rFonts w:ascii="Times New Roman"/>
          <w:color w:val="000000"/>
          <w:spacing w:val="1"/>
          <w:sz w:val="21"/>
        </w:rPr>
        <w:t xml:space="preserve"> </w:t>
      </w:r>
      <w:r>
        <w:rPr>
          <w:rFonts w:ascii="Times New Roman"/>
          <w:color w:val="000000"/>
          <w:spacing w:val="0"/>
          <w:sz w:val="21"/>
        </w:rPr>
        <w:t>CAR</w:t>
      </w:r>
      <w:r>
        <w:rPr>
          <w:rFonts w:ascii="Times New Roman"/>
          <w:color w:val="000000"/>
          <w:spacing w:val="-3"/>
          <w:sz w:val="21"/>
        </w:rPr>
        <w:t xml:space="preserve"> </w:t>
      </w:r>
      <w:r>
        <w:rPr>
          <w:rFonts w:ascii="宋体" w:hAnsi="宋体" w:cs="宋体"/>
          <w:color w:val="000000"/>
          <w:spacing w:val="0"/>
          <w:sz w:val="21"/>
        </w:rPr>
        <w:t>基因正确</w:t>
      </w:r>
    </w:p>
    <w:p w14:paraId="0FE5ACD6">
      <w:pPr>
        <w:spacing w:before="226" w:after="0" w:line="243" w:lineRule="exact"/>
        <w:ind w:left="0" w:right="0" w:firstLine="0"/>
        <w:jc w:val="left"/>
        <w:rPr>
          <w:rFonts w:ascii="Times New Roman"/>
          <w:color w:val="000000"/>
          <w:spacing w:val="0"/>
          <w:sz w:val="21"/>
        </w:rPr>
      </w:pPr>
      <w:r>
        <w:rPr>
          <w:rFonts w:ascii="宋体" w:hAnsi="宋体" w:cs="宋体"/>
          <w:color w:val="000000"/>
          <w:spacing w:val="8"/>
          <w:sz w:val="21"/>
        </w:rPr>
        <w:t>插入病毒载体，并能通过绿色荧光蛋白（</w:t>
      </w:r>
      <w:r>
        <w:rPr>
          <w:rFonts w:ascii="Times New Roman"/>
          <w:color w:val="000000"/>
          <w:spacing w:val="0"/>
          <w:sz w:val="21"/>
        </w:rPr>
        <w:t>GFP</w:t>
      </w:r>
      <w:r>
        <w:rPr>
          <w:rFonts w:ascii="宋体" w:hAnsi="宋体" w:cs="宋体"/>
          <w:color w:val="000000"/>
          <w:spacing w:val="8"/>
          <w:sz w:val="21"/>
        </w:rPr>
        <w:t>）示踪其成功导入星形胶质细胞，应选用的两种限制酶是</w:t>
      </w:r>
    </w:p>
    <w:p w14:paraId="2DB989D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w:t>
      </w:r>
      <w:r>
        <w:rPr>
          <w:rFonts w:ascii="宋体" w:hAnsi="宋体" w:cs="宋体"/>
          <w:color w:val="000000"/>
          <w:spacing w:val="0"/>
          <w:sz w:val="21"/>
        </w:rPr>
        <w:t>。</w:t>
      </w:r>
    </w:p>
    <w:p w14:paraId="07946E9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4"/>
          <w:sz w:val="21"/>
        </w:rPr>
        <w:t>）为鉴定</w:t>
      </w:r>
      <w:r>
        <w:rPr>
          <w:rFonts w:ascii="Times New Roman"/>
          <w:color w:val="000000"/>
          <w:spacing w:val="1"/>
          <w:sz w:val="21"/>
        </w:rPr>
        <w:t xml:space="preserve"> </w:t>
      </w:r>
      <w:r>
        <w:rPr>
          <w:rFonts w:ascii="Times New Roman"/>
          <w:color w:val="000000"/>
          <w:spacing w:val="0"/>
          <w:sz w:val="21"/>
        </w:rPr>
        <w:t>CAR-A</w:t>
      </w:r>
      <w:r>
        <w:rPr>
          <w:rFonts w:ascii="Times New Roman"/>
          <w:color w:val="000000"/>
          <w:spacing w:val="-3"/>
          <w:sz w:val="21"/>
        </w:rPr>
        <w:t xml:space="preserve"> </w:t>
      </w:r>
      <w:r>
        <w:rPr>
          <w:rFonts w:ascii="宋体" w:hAnsi="宋体" w:cs="宋体"/>
          <w:color w:val="000000"/>
          <w:spacing w:val="0"/>
          <w:sz w:val="21"/>
        </w:rPr>
        <w:t>细胞能吞噬和降解</w:t>
      </w:r>
      <w:r>
        <w:rPr>
          <w:rFonts w:ascii="Times New Roman"/>
          <w:color w:val="000000"/>
          <w:spacing w:val="-3"/>
          <w:sz w:val="21"/>
        </w:rPr>
        <w:t xml:space="preserve"> </w:t>
      </w:r>
      <w:r>
        <w:rPr>
          <w:rFonts w:ascii="Times New Roman" w:hAnsi="Times New Roman" w:cs="Times New Roman"/>
          <w:color w:val="000000"/>
          <w:spacing w:val="0"/>
          <w:sz w:val="21"/>
        </w:rPr>
        <w:t>Aβ</w:t>
      </w:r>
      <w:r>
        <w:rPr>
          <w:rFonts w:ascii="宋体" w:hAnsi="宋体" w:cs="宋体"/>
          <w:color w:val="000000"/>
          <w:spacing w:val="-2"/>
          <w:sz w:val="21"/>
        </w:rPr>
        <w:t>聚集体，可用含</w:t>
      </w:r>
      <w:r>
        <w:rPr>
          <w:rFonts w:ascii="Times New Roman"/>
          <w:color w:val="000000"/>
          <w:spacing w:val="-1"/>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聚集体的培养基培养</w:t>
      </w:r>
      <w:r>
        <w:rPr>
          <w:rFonts w:ascii="Times New Roman"/>
          <w:color w:val="000000"/>
          <w:spacing w:val="-3"/>
          <w:sz w:val="21"/>
        </w:rPr>
        <w:t xml:space="preserve"> </w:t>
      </w:r>
      <w:r>
        <w:rPr>
          <w:rFonts w:ascii="Times New Roman"/>
          <w:color w:val="000000"/>
          <w:spacing w:val="0"/>
          <w:sz w:val="21"/>
        </w:rPr>
        <w:t>CAR-A</w:t>
      </w:r>
      <w:r>
        <w:rPr>
          <w:rFonts w:ascii="Times New Roman"/>
          <w:color w:val="000000"/>
          <w:spacing w:val="-3"/>
          <w:sz w:val="21"/>
        </w:rPr>
        <w:t xml:space="preserve"> </w:t>
      </w:r>
      <w:r>
        <w:rPr>
          <w:rFonts w:ascii="宋体" w:hAnsi="宋体" w:cs="宋体"/>
          <w:color w:val="000000"/>
          <w:spacing w:val="-2"/>
          <w:sz w:val="21"/>
        </w:rPr>
        <w:t>细胞，一段时间</w:t>
      </w:r>
    </w:p>
    <w:p w14:paraId="416363B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后更换不含</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聚集体的培养基继续培养，</w:t>
      </w:r>
      <w:r>
        <w:rPr>
          <w:rFonts w:ascii="Times New Roman"/>
          <w:color w:val="000000"/>
          <w:spacing w:val="0"/>
          <w:sz w:val="21"/>
        </w:rPr>
        <w:t>__________</w:t>
      </w:r>
      <w:r>
        <w:rPr>
          <w:rFonts w:ascii="宋体" w:hAnsi="宋体" w:cs="宋体"/>
          <w:color w:val="000000"/>
          <w:spacing w:val="0"/>
          <w:sz w:val="21"/>
        </w:rPr>
        <w:t>（单选）的</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聚集体含量。</w:t>
      </w:r>
    </w:p>
    <w:p w14:paraId="64680D0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24 h </w:t>
      </w:r>
      <w:r>
        <w:rPr>
          <w:rFonts w:ascii="宋体" w:hAnsi="宋体" w:cs="宋体"/>
          <w:color w:val="000000"/>
          <w:spacing w:val="0"/>
          <w:sz w:val="21"/>
        </w:rPr>
        <w:t>检测细胞内</w:t>
      </w:r>
    </w:p>
    <w:p w14:paraId="6A1E72A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24 h </w:t>
      </w:r>
      <w:r>
        <w:rPr>
          <w:rFonts w:ascii="宋体" w:hAnsi="宋体" w:cs="宋体"/>
          <w:color w:val="000000"/>
          <w:spacing w:val="0"/>
          <w:sz w:val="21"/>
        </w:rPr>
        <w:t>检测细胞外</w:t>
      </w:r>
    </w:p>
    <w:p w14:paraId="3B15F17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0 h </w:t>
      </w:r>
      <w:r>
        <w:rPr>
          <w:rFonts w:ascii="宋体" w:hAnsi="宋体" w:cs="宋体"/>
          <w:color w:val="000000"/>
          <w:spacing w:val="0"/>
          <w:sz w:val="21"/>
        </w:rPr>
        <w:t>和</w:t>
      </w:r>
      <w:r>
        <w:rPr>
          <w:rFonts w:ascii="Times New Roman"/>
          <w:color w:val="000000"/>
          <w:spacing w:val="0"/>
          <w:sz w:val="21"/>
        </w:rPr>
        <w:t xml:space="preserve"> 24 h </w:t>
      </w:r>
      <w:r>
        <w:rPr>
          <w:rFonts w:ascii="宋体" w:hAnsi="宋体" w:cs="宋体"/>
          <w:color w:val="000000"/>
          <w:spacing w:val="0"/>
          <w:sz w:val="21"/>
        </w:rPr>
        <w:t>检测细胞内</w:t>
      </w:r>
    </w:p>
    <w:p w14:paraId="059ED36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0 h </w:t>
      </w:r>
      <w:r>
        <w:rPr>
          <w:rFonts w:ascii="宋体" w:hAnsi="宋体" w:cs="宋体"/>
          <w:color w:val="000000"/>
          <w:spacing w:val="0"/>
          <w:sz w:val="21"/>
        </w:rPr>
        <w:t>和</w:t>
      </w:r>
      <w:r>
        <w:rPr>
          <w:rFonts w:ascii="Times New Roman"/>
          <w:color w:val="000000"/>
          <w:spacing w:val="0"/>
          <w:sz w:val="21"/>
        </w:rPr>
        <w:t xml:space="preserve"> 24 h </w:t>
      </w:r>
      <w:r>
        <w:rPr>
          <w:rFonts w:ascii="宋体" w:hAnsi="宋体" w:cs="宋体"/>
          <w:color w:val="000000"/>
          <w:spacing w:val="0"/>
          <w:sz w:val="21"/>
        </w:rPr>
        <w:t>检测细胞外</w:t>
      </w:r>
    </w:p>
    <w:p w14:paraId="294448D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）给</w:t>
      </w:r>
      <w:r>
        <w:rPr>
          <w:rFonts w:ascii="Times New Roman"/>
          <w:color w:val="000000"/>
          <w:spacing w:val="0"/>
          <w:sz w:val="21"/>
        </w:rPr>
        <w:t xml:space="preserve"> 6 </w:t>
      </w:r>
      <w:r>
        <w:rPr>
          <w:rFonts w:ascii="宋体" w:hAnsi="宋体" w:cs="宋体"/>
          <w:color w:val="000000"/>
          <w:spacing w:val="0"/>
          <w:sz w:val="21"/>
        </w:rPr>
        <w:t>月龄阿尔茨海默病模型小鼠注射携带</w:t>
      </w:r>
      <w:r>
        <w:rPr>
          <w:rFonts w:ascii="Times New Roman"/>
          <w:color w:val="000000"/>
          <w:spacing w:val="0"/>
          <w:sz w:val="21"/>
        </w:rPr>
        <w:t xml:space="preserve"> CAR </w:t>
      </w:r>
      <w:r>
        <w:rPr>
          <w:rFonts w:ascii="宋体" w:hAnsi="宋体" w:cs="宋体"/>
          <w:color w:val="000000"/>
          <w:spacing w:val="0"/>
          <w:sz w:val="21"/>
        </w:rPr>
        <w:t>基因的病毒，</w:t>
      </w:r>
      <w:r>
        <w:rPr>
          <w:rFonts w:ascii="Times New Roman"/>
          <w:color w:val="000000"/>
          <w:spacing w:val="0"/>
          <w:sz w:val="21"/>
        </w:rPr>
        <w:t xml:space="preserve">3 </w:t>
      </w:r>
      <w:r>
        <w:rPr>
          <w:rFonts w:ascii="宋体" w:hAnsi="宋体" w:cs="宋体"/>
          <w:color w:val="000000"/>
          <w:spacing w:val="0"/>
          <w:sz w:val="21"/>
        </w:rPr>
        <w:t>个月后，大脑</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聚集体减少，且神经</w:t>
      </w:r>
    </w:p>
    <w:p w14:paraId="124CEB3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元损伤标志蛋白的相对表达量下降。该实验对照组应注射</w:t>
      </w:r>
      <w:r>
        <w:rPr>
          <w:rFonts w:ascii="Times New Roman"/>
          <w:color w:val="000000"/>
          <w:spacing w:val="0"/>
          <w:sz w:val="21"/>
        </w:rPr>
        <w:t>_____________</w:t>
      </w:r>
      <w:r>
        <w:rPr>
          <w:rFonts w:ascii="宋体" w:hAnsi="宋体" w:cs="宋体"/>
          <w:color w:val="000000"/>
          <w:spacing w:val="0"/>
          <w:sz w:val="21"/>
        </w:rPr>
        <w:t>；该实验结论是</w:t>
      </w:r>
    </w:p>
    <w:p w14:paraId="7D44D3A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____________________________________________________________________________________________</w:t>
      </w:r>
    </w:p>
    <w:p w14:paraId="5701E60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w:t>
      </w:r>
      <w:r>
        <w:rPr>
          <w:rFonts w:ascii="宋体" w:hAnsi="宋体" w:cs="宋体"/>
          <w:color w:val="000000"/>
          <w:spacing w:val="0"/>
          <w:sz w:val="21"/>
        </w:rPr>
        <w:t>。</w:t>
      </w:r>
    </w:p>
    <w:p w14:paraId="7A249159">
      <w:pPr>
        <w:spacing w:before="604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sectPr>
      <w:pgSz w:w="11900" w:h="16840"/>
      <w:pgMar w:top="3001"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C8E9CDD3-B113-4145-8576-89744FD3E52A}"/>
  </w:font>
  <w:font w:name="宋体">
    <w:panose1 w:val="02010600030101010101"/>
    <w:charset w:val="86"/>
    <w:family w:val="auto"/>
    <w:pitch w:val="default"/>
    <w:sig w:usb0="00000003" w:usb1="288F0000" w:usb2="00000006" w:usb3="00000000" w:csb0="00040001" w:csb1="00000000"/>
    <w:embedRegular r:id="rId2" w:fontKey="{55F3ADE4-072D-454B-801B-35018EFC1731}"/>
  </w:font>
  <w:font w:name="Wingdings">
    <w:panose1 w:val="05000000000000000000"/>
    <w:charset w:val="02"/>
    <w:family w:val="auto"/>
    <w:pitch w:val="default"/>
    <w:sig w:usb0="00000000" w:usb1="00000000" w:usb2="00000000" w:usb3="00000000" w:csb0="80000000" w:csb1="00000000"/>
    <w:embedRegular r:id="rId3" w:fontKey="{5E0212B5-341D-4DCF-9E8A-25B0E517D48D}"/>
  </w:font>
  <w:font w:name="Arial">
    <w:panose1 w:val="020B0604020202020204"/>
    <w:charset w:val="01"/>
    <w:family w:val="swiss"/>
    <w:pitch w:val="default"/>
    <w:sig w:usb0="E0002AFF" w:usb1="C0007843" w:usb2="00000009" w:usb3="00000000" w:csb0="400001FF" w:csb1="FFFF0000"/>
    <w:embedRegular r:id="rId4" w:fontKey="{FFC97134-105B-4A79-8C55-EF0679E022E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33A8C50D-B312-4F25-862B-8D317B0717D2}"/>
  </w:font>
  <w:font w:name="Symbol">
    <w:panose1 w:val="05050102010706020507"/>
    <w:charset w:val="02"/>
    <w:family w:val="roman"/>
    <w:pitch w:val="default"/>
    <w:sig w:usb0="00000000" w:usb1="00000000" w:usb2="00000000" w:usb3="00000000" w:csb0="80000000" w:csb1="00000000"/>
    <w:embedRegular r:id="rId6" w:fontKey="{EFF59054-8DC3-4D91-903E-7262442EDA4E}"/>
  </w:font>
  <w:font w:name="Calibri">
    <w:panose1 w:val="020F0502020204030204"/>
    <w:charset w:val="00"/>
    <w:family w:val="swiss"/>
    <w:pitch w:val="default"/>
    <w:sig w:usb0="E00002FF" w:usb1="4000ACFF" w:usb2="00000001" w:usb3="00000000" w:csb0="2000019F" w:csb1="00000000"/>
    <w:embedRegular r:id="rId7" w:fontKey="{C3057F1B-7FB1-44FF-AFBA-36FD810C08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99F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8D39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7D8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3B0B7F45"/>
    <w:rsid w:val="6C1733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qFormat="1" w:unhideWhenUsed="0" w:uiPriority="4294967295" w:semiHidden="0" w:name="header"/>
    <w:lsdException w:qFormat="1"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unhideWhenUsed="0" w:uiPriority="4294967295" w:semiHidden="0" w:name="Normal Table"/>
    <w:lsdException w:unhideWhenUsed="0" w:uiPriority="4294967295" w:semiHidden="0" w:name="annotation subject"/>
    <w:lsdException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uiPriority w:val="0"/>
  </w:style>
  <w:style w:type="table" w:default="1" w:styleId="4">
    <w:name w:val="Normal Table"/>
    <w:uiPriority w:val="4294967295"/>
    <w:tblPr>
      <w:tblCellMar>
        <w:top w:w="0" w:type="dxa"/>
        <w:left w:w="108" w:type="dxa"/>
        <w:bottom w:w="0" w:type="dxa"/>
        <w:right w:w="108" w:type="dxa"/>
      </w:tblCellMar>
    </w:tblPr>
  </w:style>
  <w:style w:type="paragraph" w:default="1" w:styleId="6">
    <w:name w:val="No List"/>
    <w:semiHidden/>
    <w:uiPriority w:val="0"/>
    <w:rPr>
      <w:rFonts w:asciiTheme="minorHAnsi" w:hAnsiTheme="minorHAnsi" w:eastAsiaTheme="minorEastAsia" w:cstheme="minorBidi"/>
      <w:sz w:val="21"/>
      <w:szCs w:val="22"/>
    </w:rPr>
  </w:style>
  <w:style w:type="paragraph" w:styleId="2">
    <w:name w:val="footer"/>
    <w:basedOn w:val="1"/>
    <w:qFormat/>
    <w:uiPriority w:val="4294967295"/>
    <w:pPr>
      <w:tabs>
        <w:tab w:val="center" w:pos="4153"/>
        <w:tab w:val="right" w:pos="8306"/>
      </w:tabs>
      <w:snapToGrid w:val="0"/>
      <w:jc w:val="left"/>
    </w:pPr>
    <w:rPr>
      <w:sz w:val="18"/>
    </w:rPr>
  </w:style>
  <w:style w:type="paragraph" w:styleId="3">
    <w:name w:val="header"/>
    <w:basedOn w:val="1"/>
    <w:qFormat/>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5.jpe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18</Pages>
  <Words>4878</Words>
  <Characters>6713</Characters>
  <Lines>0</Lines>
  <Paragraphs>211</Paragraphs>
  <TotalTime>3</TotalTime>
  <ScaleCrop>false</ScaleCrop>
  <LinksUpToDate>false</LinksUpToDate>
  <CharactersWithSpaces>7160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2026-06-24T08:31:00Z</dcterms:created>
  <dc:creator>Administrator</dc:creator>
  <cp:lastModifiedBy>上帝掷骰子吗</cp:lastModifiedBy>
  <dcterms:modified xsi:type="dcterms:W3CDTF">2026-09-18T16:49:55Z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2052-12.1.0.28505</vt:lpwstr>
  </property>
  <property fmtid="{D5CDD505-2E9C-101B-9397-08002B2CF9AE}" pid="4" name="ICV">
    <vt:lpwstr>D880E11C672344FBB88C5057F969B628_12</vt:lpwstr>
  </property>
</Properties>
</file>