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9C28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12052300</wp:posOffset>
            </wp:positionV>
            <wp:extent cx="495300" cy="3937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11264900</wp:posOffset>
            </wp:positionV>
            <wp:extent cx="266700" cy="368300"/>
            <wp:effectExtent l="0" t="0" r="0" b="12700"/>
            <wp:wrapNone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年普通高等学校招生选择性考试</w:t>
      </w:r>
    </w:p>
    <w:p w14:paraId="5C64B5E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D1DC94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页。考试结束后，将本试卷和答题卡一并交回。</w:t>
      </w:r>
    </w:p>
    <w:p w14:paraId="6BD5F01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答题前，考生先将自己的姓名、准考证号码填写清楚，将条形码准确粘贴在条形码区域内。</w:t>
      </w:r>
    </w:p>
    <w:p w14:paraId="199ACEB3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毫米黑色字迹的签字笔书写，字体工整、笔迹清楚。</w:t>
      </w:r>
    </w:p>
    <w:p w14:paraId="16FBC8F3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请按照题号顺序在答题卡各题目的答题区域内作答，超出答题区域书写的答案无效；在草稿纸、试卷上答题无效。</w:t>
      </w:r>
    </w:p>
    <w:p w14:paraId="75D5783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作图可先使用铅笔画出，确定后必须用黑色字迹的签字笔描黑。</w:t>
      </w:r>
    </w:p>
    <w:p w14:paraId="6F34447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保持卡面清洁，不要折叠，不要弄破、弄皱，不准使用涂改液、修正带、刮纸刀。</w:t>
      </w:r>
    </w:p>
    <w:p w14:paraId="1F5DAFF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7EDBB14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与根瘤菌共生的豆科植物，几乎完全依赖土壤才能获得的元素是（　　）</w:t>
      </w:r>
    </w:p>
    <w:p w14:paraId="2F0613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磷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氮</w:t>
      </w:r>
    </w:p>
    <w:p w14:paraId="6A98E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对作物植株上某种蚜虫的种群密度进行估算，下列方法最有效的是（　　）</w:t>
      </w:r>
    </w:p>
    <w:p w14:paraId="1EAA23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标记重捕法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目测估计法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黑光灯诱捕法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样方法</w:t>
      </w:r>
    </w:p>
    <w:p w14:paraId="5D84E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某单基因遗传病由位于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染色体上的隐性基因控制。不考虑突变，下列关于表型正常夫妇所生子女的叙述，一定正确的是（　　）</w:t>
      </w:r>
    </w:p>
    <w:p w14:paraId="212C52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女孩均正常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男孩均正常</w:t>
      </w:r>
    </w:p>
    <w:p w14:paraId="368D7B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女孩均为携带者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男孩和女孩均正常</w:t>
      </w:r>
    </w:p>
    <w:p w14:paraId="1656B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下列关于人体中体液调节的叙述，正确的是（　　）</w:t>
      </w:r>
    </w:p>
    <w:p w14:paraId="1F045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内环境中的各种激素均由内分泌腺分泌</w:t>
      </w:r>
    </w:p>
    <w:p w14:paraId="50419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甲状腺激素的分泌存在分级调节和反馈调节</w:t>
      </w:r>
    </w:p>
    <w:p w14:paraId="20CE2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体液调节即通过激素对生命活动进行调节</w:t>
      </w:r>
    </w:p>
    <w:p w14:paraId="12327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激素可通过血液定向运输到靶器官、靶细胞</w:t>
      </w:r>
    </w:p>
    <w:p w14:paraId="623F7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下列关于菊花愈伤组织诱导及培养的叙述，正确的是（　　）</w:t>
      </w:r>
    </w:p>
    <w:p w14:paraId="4E5FD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诱导愈伤组织形成及后期培养，全程需光照</w:t>
      </w:r>
    </w:p>
    <w:p w14:paraId="74E2D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为防止植物激素高温失活，培养基可不灭菌</w:t>
      </w:r>
    </w:p>
    <w:p w14:paraId="036A1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用幼嫩的茎段作外植体能诱导形成愈伤组织</w:t>
      </w:r>
    </w:p>
    <w:p w14:paraId="0E3A2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生长素与细胞分裂素的比例不影响愈伤组织细胞分化方向</w:t>
      </w:r>
    </w:p>
    <w:p w14:paraId="1FA7C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山水林田湖草沙是生命共同体，各组分在生态系统中扮演着不同的角色，彼此紧密联系、相互依存。下列叙述错误的是（　　）</w:t>
      </w:r>
    </w:p>
    <w:p w14:paraId="1448B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林、草等绿色植物为生态系统的生产者，是生态系统的基石</w:t>
      </w:r>
    </w:p>
    <w:p w14:paraId="3D103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沙化治理能增加植被覆盖，固定更多的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，减缓全球变暖</w:t>
      </w:r>
    </w:p>
    <w:p w14:paraId="57A6F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各组分相互依存，形成共同体，有利于维持生态系统的平衡稳定</w:t>
      </w:r>
    </w:p>
    <w:p w14:paraId="02299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保护生命共同体是为了更好地实现其调节生态系统功能的直接价值</w:t>
      </w:r>
    </w:p>
    <w:p w14:paraId="5CFA6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秸秆覆盖还田、免耕播种等黑土地保护技术使土壤有机碳含量增加，土壤生物多样性也高于传统耕作，作物产量增加。下列叙述错误的是（　　）</w:t>
      </w:r>
    </w:p>
    <w:p w14:paraId="3E2CC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该技术为分解者提供了更多的有机物来源</w:t>
      </w:r>
    </w:p>
    <w:p w14:paraId="5E5CD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秸秆中部分有机碳分解后，以无机碳的形式流向非生物环境</w:t>
      </w:r>
    </w:p>
    <w:p w14:paraId="5B53F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该技术使秸秆中的能量经微生物更多地流向农作物</w:t>
      </w:r>
    </w:p>
    <w:p w14:paraId="2A40A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该技术兼顾经济效益与生态保护，符合整体原理</w:t>
      </w:r>
    </w:p>
    <w:p w14:paraId="15CDD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成纤维细胞经适当剂量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射线处理后进入衰老状态，细胞内自由基水平上升，衰老相关</w:t>
      </w:r>
      <w:r>
        <w:rPr>
          <w:rFonts w:ascii="Times New Roman" w:hAnsi="Times New Roman" w:eastAsia="Times New Roman" w:cs="Times New Roman"/>
          <w:color w:val="000000"/>
        </w:rPr>
        <w:t>β-</w:t>
      </w:r>
      <w:r>
        <w:rPr>
          <w:rFonts w:ascii="宋体" w:hAnsi="宋体" w:eastAsia="宋体" w:cs="宋体"/>
          <w:color w:val="000000"/>
        </w:rPr>
        <w:t>半乳糖苷酶活性升高，染色质形成致密团块。下列叙述错误的是（　　）</w:t>
      </w:r>
    </w:p>
    <w:p w14:paraId="04973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高剂量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射线可引起细胞坏死</w:t>
      </w:r>
    </w:p>
    <w:p w14:paraId="5F095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清除过量的自由基有助于延缓细胞衰老进程</w:t>
      </w:r>
    </w:p>
    <w:p w14:paraId="64E38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β-</w:t>
      </w:r>
      <w:r>
        <w:rPr>
          <w:rFonts w:ascii="宋体" w:hAnsi="宋体" w:eastAsia="宋体" w:cs="宋体"/>
          <w:color w:val="000000"/>
        </w:rPr>
        <w:t>半乳糖苷酶活性升高表明细胞代谢活动增强</w:t>
      </w:r>
    </w:p>
    <w:p w14:paraId="747B5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染色质收缩是形成染色质致密团块的重要原因</w:t>
      </w:r>
    </w:p>
    <w:p w14:paraId="5C699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植物细胞膜上存在钙泵和钙离子通道两种转运蛋白。钙泵又称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Times New Roman" w:hAnsi="Times New Roman" w:eastAsia="Times New Roman" w:cs="Times New Roman"/>
          <w:color w:val="000000"/>
        </w:rPr>
        <w:t>-ATP</w:t>
      </w:r>
      <w:r>
        <w:rPr>
          <w:rFonts w:ascii="宋体" w:hAnsi="宋体" w:eastAsia="宋体" w:cs="宋体"/>
          <w:color w:val="000000"/>
        </w:rPr>
        <w:t>酶，能够催化细胞膜内侧的</w:t>
      </w:r>
      <w:r>
        <w:rPr>
          <w:rFonts w:ascii="Times New Roman" w:hAnsi="Times New Roman" w:eastAsia="Times New Roman" w:cs="Times New Roman"/>
          <w:color w:val="000000"/>
        </w:rPr>
        <w:t>ATP</w:t>
      </w:r>
      <w:r>
        <w:rPr>
          <w:rFonts w:ascii="宋体" w:hAnsi="宋体" w:eastAsia="宋体" w:cs="宋体"/>
          <w:color w:val="000000"/>
        </w:rPr>
        <w:t>水解释放能量，驱动细胞内的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泵出细胞。下列叙述错误的是（　　）</w:t>
      </w:r>
    </w:p>
    <w:p w14:paraId="4321A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需与钙离子通道蛋白结合才能进入细胞</w:t>
      </w:r>
    </w:p>
    <w:p w14:paraId="75635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泵出细胞的运输速率存在最大值</w:t>
      </w:r>
    </w:p>
    <w:p w14:paraId="7DD0C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抑制细胞的呼吸作用会影响钙泵的功能</w:t>
      </w:r>
    </w:p>
    <w:p w14:paraId="4F927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钙泵在发挥作用过程中，空间结构会发生变化</w:t>
      </w:r>
    </w:p>
    <w:p w14:paraId="571B3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蛙类长时间潜水导致内环境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下降，从而激活细胞膜上的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  <w:vertAlign w:val="superscript"/>
        </w:rPr>
        <w:t>＋</w:t>
      </w:r>
      <w:r>
        <w:rPr>
          <w:rFonts w:ascii="宋体" w:hAnsi="宋体" w:eastAsia="宋体" w:cs="宋体"/>
          <w:color w:val="000000"/>
        </w:rPr>
        <w:t>受体</w:t>
      </w:r>
      <w:r>
        <w:rPr>
          <w:rFonts w:ascii="Times New Roman" w:hAnsi="Times New Roman" w:eastAsia="Times New Roman" w:cs="Times New Roman"/>
          <w:color w:val="000000"/>
        </w:rPr>
        <w:t>GPR4.</w:t>
      </w:r>
      <w:r>
        <w:rPr>
          <w:rFonts w:ascii="宋体" w:hAnsi="宋体" w:eastAsia="宋体" w:cs="宋体"/>
          <w:color w:val="000000"/>
        </w:rPr>
        <w:t>热带爪蟾</w:t>
      </w:r>
      <w:r>
        <w:rPr>
          <w:rFonts w:ascii="Times New Roman" w:hAnsi="Times New Roman" w:eastAsia="Times New Roman" w:cs="Times New Roman"/>
          <w:color w:val="000000"/>
        </w:rPr>
        <w:t>GPR4</w:t>
      </w:r>
      <w:r>
        <w:rPr>
          <w:rFonts w:ascii="宋体" w:hAnsi="宋体" w:eastAsia="宋体" w:cs="宋体"/>
          <w:color w:val="000000"/>
        </w:rPr>
        <w:t>基因发生了突变，使该受体在更低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下才能激活，进而使得该物种能够充分利用既有生理基础，实现长时潜水。下列叙述正确的是（　　）</w:t>
      </w:r>
    </w:p>
    <w:p w14:paraId="78BB4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热带爪蟾正常潜水过程中内环境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下降引起其内环境稳态失调</w:t>
      </w:r>
    </w:p>
    <w:p w14:paraId="315B7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GPR4</w:t>
      </w:r>
      <w:r>
        <w:rPr>
          <w:rFonts w:ascii="宋体" w:hAnsi="宋体" w:eastAsia="宋体" w:cs="宋体"/>
          <w:color w:val="000000"/>
        </w:rPr>
        <w:t>基因突变前后，内环境的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稳态均受到缓冲物质的调节</w:t>
      </w:r>
    </w:p>
    <w:p w14:paraId="0BAB7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GPR4</w:t>
      </w:r>
      <w:r>
        <w:rPr>
          <w:rFonts w:ascii="宋体" w:hAnsi="宋体" w:eastAsia="宋体" w:cs="宋体"/>
          <w:color w:val="000000"/>
        </w:rPr>
        <w:t>基因突变是热带爪蟾为适应长时间潜水而定向产生的</w:t>
      </w:r>
    </w:p>
    <w:p w14:paraId="4F954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热带爪蟾的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  <w:vertAlign w:val="superscript"/>
        </w:rPr>
        <w:t>＋</w:t>
      </w:r>
      <w:r>
        <w:rPr>
          <w:rFonts w:ascii="宋体" w:hAnsi="宋体" w:eastAsia="宋体" w:cs="宋体"/>
          <w:color w:val="000000"/>
        </w:rPr>
        <w:t>受体</w:t>
      </w:r>
      <w:r>
        <w:rPr>
          <w:rFonts w:ascii="Times New Roman" w:hAnsi="Times New Roman" w:eastAsia="Times New Roman" w:cs="Times New Roman"/>
          <w:color w:val="000000"/>
        </w:rPr>
        <w:t>GPR4</w:t>
      </w:r>
      <w:r>
        <w:rPr>
          <w:rFonts w:ascii="宋体" w:hAnsi="宋体" w:eastAsia="宋体" w:cs="宋体"/>
          <w:color w:val="000000"/>
        </w:rPr>
        <w:t>属于内环境的成分</w:t>
      </w:r>
    </w:p>
    <w:p w14:paraId="30554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人端粒酶催化亚基（</w:t>
      </w:r>
      <w:r>
        <w:rPr>
          <w:rFonts w:ascii="Times New Roman" w:hAnsi="Times New Roman" w:eastAsia="Times New Roman" w:cs="Times New Roman"/>
          <w:color w:val="000000"/>
        </w:rPr>
        <w:t>hTERT</w:t>
      </w:r>
      <w:r>
        <w:rPr>
          <w:rFonts w:ascii="宋体" w:hAnsi="宋体" w:eastAsia="宋体" w:cs="宋体"/>
          <w:color w:val="000000"/>
        </w:rPr>
        <w:t>）能维持端粒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序列长度。将间充质干细胞分为两组并进行贴壁培养：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组导入空载体；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组导入</w:t>
      </w:r>
      <w:r>
        <w:rPr>
          <w:rFonts w:ascii="Times New Roman" w:hAnsi="Times New Roman" w:eastAsia="Times New Roman" w:cs="Times New Roman"/>
          <w:color w:val="000000"/>
        </w:rPr>
        <w:t>hTERT</w:t>
      </w:r>
      <w:r>
        <w:rPr>
          <w:rFonts w:ascii="宋体" w:hAnsi="宋体" w:eastAsia="宋体" w:cs="宋体"/>
          <w:color w:val="000000"/>
        </w:rPr>
        <w:t>基因并持续表达。下列叙述错误的是（　　）</w:t>
      </w:r>
    </w:p>
    <w:p w14:paraId="2FE13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细胞培养过程中，培养液需要定期更换</w:t>
      </w:r>
    </w:p>
    <w:p w14:paraId="06E70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传代培养时，可用纤维素酶处理使贴壁细胞分散</w:t>
      </w:r>
    </w:p>
    <w:p w14:paraId="57534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组细胞端粒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序列会随分裂次数增加而逐渐缩短</w:t>
      </w:r>
    </w:p>
    <w:p w14:paraId="27CD2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组细胞相比，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组细胞可分裂的次数会明显增加</w:t>
      </w:r>
    </w:p>
    <w:p w14:paraId="2B25B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玉米中有一种突变体，种子直接在植株的果穗上发芽。已知该性状是由于脱落酸合成受抑制或脱落酸受体功能异常导致。为确定该性状出现的原因，以下实验设计及结果分析合理的是（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3877"/>
        <w:gridCol w:w="2795"/>
        <w:gridCol w:w="2434"/>
      </w:tblGrid>
      <w:tr w14:paraId="6D905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E21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2F5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CE7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8FD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结果分析</w:t>
            </w:r>
          </w:p>
        </w:tc>
      </w:tr>
      <w:tr w14:paraId="15414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83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372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测定突变体和野生型玉米种子中的脱落酸含量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ACD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突变体脱落酸含量与野生型一致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1B2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突变体脱落酸受体功能正常</w:t>
            </w:r>
          </w:p>
        </w:tc>
      </w:tr>
      <w:tr w14:paraId="047BB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338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132A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C96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突变体脱落酸含量低于野生型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47E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突变体脱落酸受体功能异常</w:t>
            </w:r>
          </w:p>
        </w:tc>
      </w:tr>
      <w:tr w14:paraId="08340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0DF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64F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给突变体玉米果穗施加适宜浓度的脱落酸溶液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2DB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果穗上种子不发芽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C3D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突变体脱落酸受体功能正常</w:t>
            </w:r>
          </w:p>
        </w:tc>
      </w:tr>
      <w:tr w14:paraId="0F331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876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B221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55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果穗上种子发芽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4B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突变体脱落酸合成受抑制</w:t>
            </w:r>
          </w:p>
        </w:tc>
      </w:tr>
    </w:tbl>
    <w:p w14:paraId="1196A080">
      <w:pPr>
        <w:spacing w:line="360" w:lineRule="auto"/>
        <w:jc w:val="left"/>
        <w:textAlignment w:val="center"/>
        <w:rPr>
          <w:color w:val="000000"/>
        </w:rPr>
      </w:pPr>
    </w:p>
    <w:p w14:paraId="5AC261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BA19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为模拟胚胎发育过程中子宫的力学环境，科学家设计了水凝胶材料，小鼠囊胚在其内部生长，如下图。下列叙述正确的是（　　）</w:t>
      </w:r>
    </w:p>
    <w:p w14:paraId="1EFB6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304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A7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囊胚置于水凝胶之前，已经历了桑葚胚阶段</w:t>
      </w:r>
    </w:p>
    <w:p w14:paraId="78478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胚胎培养时，物质分子由培养基至胚胎单向转移</w:t>
      </w:r>
    </w:p>
    <w:p w14:paraId="63C27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水凝胶基质硬度越大，越有利于胚胎生长</w:t>
      </w:r>
    </w:p>
    <w:p w14:paraId="4E497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囊胚孵化后，与水凝胶接触的部位由滋养层变为透明带</w:t>
      </w:r>
    </w:p>
    <w:p w14:paraId="13A4F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鲸类祖先从陆地进入海洋后，分化出深潜水鲸类（如抹香鲸）和浅潜水鲸类（如灰鲸）等物种。下列叙述错误的是（　　）</w:t>
      </w:r>
    </w:p>
    <w:p w14:paraId="5535B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抹香鲸深潜能力涉及多器官、系统的协调活动，受多基因控制</w:t>
      </w:r>
    </w:p>
    <w:p w14:paraId="513CF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鲸类生态位的分化是物种之间及生物与环境之间协同进化的结果</w:t>
      </w:r>
    </w:p>
    <w:p w14:paraId="04FA3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鲸类深潜能力相关的基因频率在自然选择的作用下发生定向改变</w:t>
      </w:r>
    </w:p>
    <w:p w14:paraId="19B51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抹香鲸和灰鲸在潜水相关基因上的差异，是判断它们为不同物种的依据</w:t>
      </w:r>
    </w:p>
    <w:p w14:paraId="45EEE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从二倍体和四倍体西瓜植株中随机选取一株，观察其花药中的细胞。细胞分裂示意图如下（仅显示部分染色体）。不考虑突变，四倍体减数分裂仅考虑同源染色体两两配对、彼此分离。下列叙述正确的是（　　）</w:t>
      </w:r>
    </w:p>
    <w:p w14:paraId="0CDD3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2066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64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该细胞不可能处于有丝分裂后期</w:t>
      </w:r>
    </w:p>
    <w:p w14:paraId="5653D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该细胞不可能处于减数第二次分裂后期</w:t>
      </w:r>
    </w:p>
    <w:p w14:paraId="04B07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图示区域可能含有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个染色体组</w:t>
      </w:r>
    </w:p>
    <w:p w14:paraId="74995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①和②染色体上的遗传信息可能不同</w:t>
      </w:r>
    </w:p>
    <w:p w14:paraId="2F360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分。在每小题给出的四个选项中，有一项或多项是符合题目要求的。全部选对得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分，选对但选不全得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5D8A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玉米籽粒形成过程中，磷酸烯醇式丙酮酸羧激酶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PEPCK2</w:t>
      </w:r>
      <w:r>
        <w:rPr>
          <w:rFonts w:ascii="宋体" w:hAnsi="宋体" w:eastAsia="宋体" w:cs="宋体"/>
          <w:color w:val="000000"/>
        </w:rPr>
        <w:t>）催化的反应如下图。下列叙述正确的是（　　）</w:t>
      </w:r>
    </w:p>
    <w:p w14:paraId="3CDBF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8115"/>
            <wp:effectExtent l="0" t="0" r="0" b="63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C1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过程①在线粒体基质中进行</w:t>
      </w:r>
    </w:p>
    <w:p w14:paraId="43BFF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PEPCK2</w:t>
      </w:r>
      <w:r>
        <w:rPr>
          <w:rFonts w:ascii="宋体" w:hAnsi="宋体" w:eastAsia="宋体" w:cs="宋体"/>
          <w:color w:val="000000"/>
        </w:rPr>
        <w:t>不能为草酰乙酸转化为</w:t>
      </w:r>
      <w:r>
        <w:rPr>
          <w:rFonts w:ascii="Times New Roman" w:hAnsi="Times New Roman" w:eastAsia="Times New Roman" w:cs="Times New Roman"/>
          <w:color w:val="000000"/>
        </w:rPr>
        <w:t>PEP</w:t>
      </w:r>
      <w:r>
        <w:rPr>
          <w:rFonts w:ascii="宋体" w:hAnsi="宋体" w:eastAsia="宋体" w:cs="宋体"/>
          <w:color w:val="000000"/>
        </w:rPr>
        <w:t>提供能量</w:t>
      </w:r>
    </w:p>
    <w:p w14:paraId="60780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PEPCK2</w:t>
      </w:r>
      <w:r>
        <w:rPr>
          <w:rFonts w:ascii="宋体" w:hAnsi="宋体" w:eastAsia="宋体" w:cs="宋体"/>
          <w:color w:val="000000"/>
        </w:rPr>
        <w:t>不能催化其他来源的草酰乙酸转化为</w:t>
      </w:r>
      <w:r>
        <w:rPr>
          <w:rFonts w:ascii="Times New Roman" w:hAnsi="Times New Roman" w:eastAsia="Times New Roman" w:cs="Times New Roman"/>
          <w:color w:val="000000"/>
        </w:rPr>
        <w:t>PEP</w:t>
      </w:r>
    </w:p>
    <w:p w14:paraId="13F3C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PEPCK2</w:t>
      </w:r>
      <w:r>
        <w:rPr>
          <w:rFonts w:ascii="宋体" w:hAnsi="宋体" w:eastAsia="宋体" w:cs="宋体"/>
          <w:color w:val="000000"/>
        </w:rPr>
        <w:t>活性提高可促进籽粒中淀粉与蛋白质的积累</w:t>
      </w:r>
    </w:p>
    <w:p w14:paraId="5C082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环境中缺乏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时，三角褐指藻可以利用与其共生的细菌代谢产生的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进行光合作用，维持生长。下图为藻、菌的培养结果，培养条件为有光照、无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、葡萄糖为唯一碳源。下列叙述正确的是（　　）</w:t>
      </w:r>
    </w:p>
    <w:p w14:paraId="16CB7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2714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88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共培养体系中，三角褐指藻数量的增加会引起细菌数量下降</w:t>
      </w:r>
    </w:p>
    <w:p w14:paraId="5730E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共培养体系中，随培养时间推移，藻、菌各自的种内竞争加剧</w:t>
      </w:r>
    </w:p>
    <w:p w14:paraId="3C465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单培养时，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是限制三角褐指藻种群数量增长的非生物因素</w:t>
      </w:r>
    </w:p>
    <w:p w14:paraId="56929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与单培养相比，共培养时三角褐指藻种群的环境容纳量更大</w:t>
      </w:r>
    </w:p>
    <w:p w14:paraId="0BA5B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某奶酒以牛奶为主要原料，经微生物发酵酿制而成。为提高发酵效率，需筛选具有乳糖利用率高、乙醇产量高等特性的酵母菌菌株。下列叙述正确的是（　　）</w:t>
      </w:r>
    </w:p>
    <w:p w14:paraId="583A4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选择培养基应以葡萄糖为唯一碳源</w:t>
      </w:r>
    </w:p>
    <w:p w14:paraId="6F276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选择培养基中可添加抗生素抑制细菌生长</w:t>
      </w:r>
    </w:p>
    <w:p w14:paraId="29141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制备固体培养基需先高压蒸汽灭菌再倒平板</w:t>
      </w:r>
    </w:p>
    <w:p w14:paraId="541F0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接种后的平板应在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恒温培养</w:t>
      </w:r>
    </w:p>
    <w:p w14:paraId="26EBA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下图为某种自身免疫病发病过程中，自身抗体参与的免疫反应部分环节示意图。下列叙述正确的是（　　）</w:t>
      </w:r>
    </w:p>
    <w:p w14:paraId="1FCBB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9263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9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细胞通过膜表面受体直接识别受损细胞释放的自身抗原</w:t>
      </w:r>
    </w:p>
    <w:p w14:paraId="2AB8B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该过程中辅助性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细胞表面的特定分子会发生变化并与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细胞结合</w:t>
      </w:r>
    </w:p>
    <w:p w14:paraId="37C37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自身抗体能与自身抗原特异性结合，从而限制自身免疫病的发展</w:t>
      </w:r>
    </w:p>
    <w:p w14:paraId="4A528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正常情况下，位于胞内的自身抗原不引发免疫反应</w:t>
      </w:r>
    </w:p>
    <w:p w14:paraId="5FD18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水仙花瓣与副冠（如下图）的颜色与类胡萝卜素的含量有关。上述性状由三对独立遗传的等位基因控制，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基因控制类胡萝卜素合成，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基因控制类胡萝卜素降解，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基因调控类胡萝卜素富集使副冠呈橙红色，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基因不具有对应功能。现有纯合水仙甲（花瓣白色、副冠黄色，花后期副冠会褪色）和纯合水仙乙（花瓣黄色、副冠橙红色，花后期副冠不褪色）。将甲和乙杂交后得到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，再自交得到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。下列叙述正确的是（　　）</w:t>
      </w:r>
    </w:p>
    <w:p w14:paraId="6241E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28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69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水仙甲花瓣和副冠颜色的差异是由基因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表达情况不同导致的</w:t>
      </w:r>
    </w:p>
    <w:p w14:paraId="39DF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甲和乙的基因型分别为</w:t>
      </w:r>
      <w:r>
        <w:rPr>
          <w:rFonts w:ascii="Times New Roman" w:hAnsi="Times New Roman" w:eastAsia="Times New Roman" w:cs="Times New Roman"/>
          <w:color w:val="000000"/>
        </w:rPr>
        <w:t>aaBBdd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AAbbDD</w:t>
      </w:r>
    </w:p>
    <w:p w14:paraId="46E96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的表型为花瓣白色、副冠橙红色，花后期副冠褪色</w:t>
      </w:r>
    </w:p>
    <w:p w14:paraId="0109F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中副冠橙红、不褪色植株的占比是</w:t>
      </w:r>
      <w:r>
        <w:rPr>
          <w:rFonts w:ascii="Times New Roman" w:hAnsi="Times New Roman" w:eastAsia="Times New Roman" w:cs="Times New Roman"/>
          <w:color w:val="000000"/>
        </w:rPr>
        <w:t>3/16</w:t>
      </w:r>
      <w:r>
        <w:rPr>
          <w:rFonts w:ascii="宋体" w:hAnsi="宋体" w:eastAsia="宋体" w:cs="宋体"/>
          <w:color w:val="000000"/>
        </w:rPr>
        <w:t>，该性状共有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种基因型</w:t>
      </w:r>
    </w:p>
    <w:p w14:paraId="3CE2A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B17F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研究人员以森林中某落叶阔叶树为对象，测定了树冠顶部和底部当年生总枝条的相关指标，结果如表所示。当年生总枝条是指在一个生长季节内（通常是春季萌芽到秋季落叶前）萌发、生长并木质化的枝条及其上的所有叶片。回答下列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3"/>
        <w:gridCol w:w="2071"/>
        <w:gridCol w:w="2071"/>
        <w:gridCol w:w="1184"/>
        <w:gridCol w:w="1546"/>
      </w:tblGrid>
      <w:tr w14:paraId="1268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1C460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相关指标</w:t>
            </w:r>
          </w:p>
          <w:p w14:paraId="324FAA26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</w:p>
          <w:p w14:paraId="749EF6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总枝条位置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DF2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叶片最大光合速率</w:t>
            </w:r>
          </w:p>
          <w:p w14:paraId="6DFE21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μmol·m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AFC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叶片呼吸速率</w:t>
            </w:r>
          </w:p>
          <w:p w14:paraId="2E209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μmol·m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1B0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相对碳成本</w:t>
            </w:r>
          </w:p>
          <w:p w14:paraId="1E9F0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E37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比叶面积</w:t>
            </w:r>
          </w:p>
          <w:p w14:paraId="5ADA94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·kg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02A8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9C3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树冠顶部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396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11.9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469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362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15.6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3C0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</w:t>
            </w:r>
          </w:p>
        </w:tc>
      </w:tr>
      <w:tr w14:paraId="774C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1BE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树冠底部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1E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014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739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15.2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F0A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</w:tr>
    </w:tbl>
    <w:p w14:paraId="6A5F9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注：相对碳成本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（当年生总枝条的碳总量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叶片脱落前该总枝条从环境中吸收的碳总量）×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；</w:t>
      </w:r>
    </w:p>
    <w:p w14:paraId="2C01D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比叶面积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叶面积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叶干重。</w:t>
      </w:r>
    </w:p>
    <w:p w14:paraId="72412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实验中测定最大光合速率时，除使用饱和光照外，还应保证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等环境因子一致且适宜。与测定光合速率不同，测定叶片的呼吸速率必须在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环境条件下。</w:t>
      </w:r>
    </w:p>
    <w:p w14:paraId="0B145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已知，光合速率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净光合速率＋呼吸速率。以一定强度的光照射该植物顶部叶片，此时顶部叶片的呼吸速率与光合速率相等，若用同强度的光照射底部叶片，此时底部叶片的净光合速率应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&lt;0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”）。</w:t>
      </w:r>
    </w:p>
    <w:p w14:paraId="0ECBC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植株生长过程中，总枝条可向根等部位输出有机物，总枝条输出有机物的能力与相对碳成本呈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（填“正”或“负”）相关。底部与顶部总枝条的相对碳成本接近，但底部总枝条所处环境光照较弱，在此条件下，据表中数据分析，底部总枝条通过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，使其碳输出量实现最大化。此外，其叶片还可能通过哪些生理或结构变化来提高光能捕获效率？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点即可），这些变化的作用是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（从光反应的物质和能量转化角度作答）。</w:t>
      </w:r>
    </w:p>
    <w:p w14:paraId="04387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伴生植物可有效防控作物害虫。研究人员利用万寿菊防治旱稻田害虫，调查了旱稻种植期内的害虫及其天敌（节肢动物类）数量，实验分组和结果如下：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1AF29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2B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FAA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处理方法</w:t>
            </w:r>
          </w:p>
        </w:tc>
      </w:tr>
      <w:tr w14:paraId="70893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5D6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16A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种植旱稻</w:t>
            </w:r>
          </w:p>
        </w:tc>
      </w:tr>
      <w:tr w14:paraId="0D59D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963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2D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在旱稻田周围种植万寿菊</w:t>
            </w:r>
          </w:p>
        </w:tc>
      </w:tr>
      <w:tr w14:paraId="6C21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F60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987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对旱稻喷洒万寿菊提取物</w:t>
            </w:r>
          </w:p>
        </w:tc>
      </w:tr>
      <w:tr w14:paraId="4EC7F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E5E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699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在旱稻田周围种植万寿菊且对旱稻喷洒万寿菊提取物</w:t>
            </w:r>
          </w:p>
        </w:tc>
      </w:tr>
    </w:tbl>
    <w:p w14:paraId="0351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2524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81AE1">
      <w:pPr>
        <w:spacing w:line="360" w:lineRule="auto"/>
        <w:jc w:val="left"/>
        <w:textAlignment w:val="center"/>
        <w:rPr>
          <w:color w:val="000000"/>
        </w:rPr>
      </w:pPr>
    </w:p>
    <w:p w14:paraId="34DFE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据柱状图分析，种植万寿菊可通过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实现对农田害虫的调控，从而提高农田生态系统的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能力。</w:t>
      </w:r>
    </w:p>
    <w:p w14:paraId="51FAF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中观察到，害虫天敌草蛉主要捕食旱稻田内的害虫（如二化螟、稻飞虱），草蛉还能捕食以万寿菊为食的花蓟马等昆虫。请根据上述给出的营养关系绘制包含旱稻、万寿菊、二化螟、稻飞虱、花蓟马和草蛉的食物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（请在答题卡指定区域作答）。</w:t>
      </w:r>
    </w:p>
    <w:p w14:paraId="361AB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旱稻生长的不同时期，二化螟等害虫数量变化较大。当旱稻田中的害虫较少时，害虫天敌会捕食万寿菊上的昆虫作为补充食物，这种补充食物对天敌种群的作用是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，这种作用在后续旱稻田害虫数量增多时的意义是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3FEE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统计分析后，</w:t>
      </w:r>
      <w:r>
        <w:rPr>
          <w:rFonts w:ascii="Times New Roman" w:hAnsi="Times New Roman" w:eastAsia="Times New Roman" w:cs="Times New Roman"/>
          <w:color w:val="000000"/>
        </w:rPr>
        <w:t>T2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T4</w:t>
      </w:r>
      <w:r>
        <w:rPr>
          <w:rFonts w:ascii="宋体" w:hAnsi="宋体" w:eastAsia="宋体" w:cs="宋体"/>
          <w:color w:val="000000"/>
        </w:rPr>
        <w:t>对害虫的控制效果基本一致，为了实现长期控害和可持续发展，生产实践中应优先选择使用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方法。</w:t>
      </w:r>
    </w:p>
    <w:p w14:paraId="182F2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为实现更好的防控效果，需结合防控目标和作物特点。下列叙述正确的是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（多选）。</w:t>
      </w:r>
    </w:p>
    <w:p w14:paraId="72BF8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害虫天敌的活动范围能够覆盖农田作物</w:t>
      </w:r>
    </w:p>
    <w:p w14:paraId="730CB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害虫天敌应保持食物生态位的高度重叠</w:t>
      </w:r>
    </w:p>
    <w:p w14:paraId="711A0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避免伴生植物生长时与作物产生竞争</w:t>
      </w:r>
    </w:p>
    <w:p w14:paraId="4939E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伴生植物应易于控制，避免造成物种入侵</w:t>
      </w:r>
    </w:p>
    <w:p w14:paraId="297D0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用某肿瘤模型小鼠研究发现，肿瘤通过分泌神经营养因子促进肿瘤周边迷走神经末梢的生长，增强了一条神经通路（感受器→迷走神经→脑干→交感神经→效应器）的作用，影响肿瘤生长。回答下列问题。</w:t>
      </w:r>
    </w:p>
    <w:p w14:paraId="05201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5072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36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注：图中数据表示每组检测的平均值，同一图中不同字母表示检测结果间差异显著，相同字母表示检测结果间差异不显著。</w:t>
      </w:r>
    </w:p>
    <w:p w14:paraId="501CB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该神经通路对于肿瘤生长的调节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（填“属于”或“不属于”）反射。此通路中，作为传入神经的是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神经。将该通路中迷走神经失活获得图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结果，可推知该神经通路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（填“促进”或“抑制”）肿瘤生长。</w:t>
      </w:r>
    </w:p>
    <w:p w14:paraId="11625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推测上述神经通路最终需通过免疫细胞影响肿瘤生长，研究人员在不同小鼠中分别清除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细胞和巨噬细胞，获得图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结果。</w:t>
      </w:r>
    </w:p>
    <w:p w14:paraId="5A026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．神经失活时：巨噬细胞抑制肿瘤生长，依据是⑥组肿瘤相对面积显著大于②组肿瘤相对面积；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细胞也抑制了肿瘤生长，依据是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。结合所学知识，巨噬细胞可能发挥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作用活化辅助性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细胞，通过一系列作用最终活化细胞毒性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细胞杀伤肿瘤。</w:t>
      </w:r>
    </w:p>
    <w:p w14:paraId="5A961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．神经正常时：巨噬细胞促进肿瘤生长，依据是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。进一步研究发现交感神经末梢释放去甲肾上腺素，作用于巨噬细胞可调节精氨酸酶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基因的表达。精氨酸酶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能分解精氨酸，而精氨酸是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细胞活化的必需营养物质。综合以上信息，该神经通路影响肿瘤生长的机制为：</w:t>
      </w:r>
    </w:p>
    <w:p w14:paraId="460F0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19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C3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我国科学家在半矮秆水稻性状改良研究领域中取得了突破性进展。</w:t>
      </w:r>
    </w:p>
    <w:p w14:paraId="4CE43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已知水稻高秆和半矮秆性状受一对等位基因</w:t>
      </w:r>
      <w:r>
        <w:rPr>
          <w:rFonts w:ascii="Times New Roman" w:hAnsi="Times New Roman" w:eastAsia="Times New Roman" w:cs="Times New Roman"/>
          <w:color w:val="000000"/>
        </w:rPr>
        <w:t>SD1/sd1</w:t>
      </w:r>
      <w:r>
        <w:rPr>
          <w:rFonts w:ascii="宋体" w:hAnsi="宋体" w:eastAsia="宋体" w:cs="宋体"/>
          <w:color w:val="000000"/>
        </w:rPr>
        <w:t>控制。</w:t>
      </w:r>
      <w:r>
        <w:rPr>
          <w:rFonts w:ascii="Times New Roman" w:hAnsi="Times New Roman" w:eastAsia="Times New Roman" w:cs="Times New Roman"/>
          <w:color w:val="000000"/>
        </w:rPr>
        <w:t>SD1</w:t>
      </w:r>
      <w:r>
        <w:rPr>
          <w:rFonts w:ascii="宋体" w:hAnsi="宋体" w:eastAsia="宋体" w:cs="宋体"/>
          <w:color w:val="000000"/>
        </w:rPr>
        <w:t>基因编码有功能的赤霉素</w:t>
      </w:r>
      <w:r>
        <w:rPr>
          <w:rFonts w:ascii="Times New Roman" w:hAnsi="Times New Roman" w:eastAsia="Times New Roman" w:cs="Times New Roman"/>
          <w:color w:val="000000"/>
        </w:rPr>
        <w:t>20-</w:t>
      </w:r>
      <w:r>
        <w:rPr>
          <w:rFonts w:ascii="宋体" w:hAnsi="宋体" w:eastAsia="宋体" w:cs="宋体"/>
          <w:color w:val="000000"/>
        </w:rPr>
        <w:t>氧化酶，催化底物产生赤霉素，控制高秆性状；</w:t>
      </w:r>
      <w:r>
        <w:rPr>
          <w:rFonts w:ascii="Times New Roman" w:hAnsi="Times New Roman" w:eastAsia="Times New Roman" w:cs="Times New Roman"/>
          <w:color w:val="000000"/>
        </w:rPr>
        <w:t>sd1</w:t>
      </w:r>
      <w:r>
        <w:rPr>
          <w:rFonts w:ascii="宋体" w:hAnsi="宋体" w:eastAsia="宋体" w:cs="宋体"/>
          <w:color w:val="000000"/>
        </w:rPr>
        <w:t>基因不能产生有功能的酶，控制半矮秆性状。杂交结果说明高秆对半矮秆为显性，从基因型和基因产物功能的角度，对此结论的解释是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2D45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半矮秆稻抗倒伏，但高氮肥下才能高产。为使其在低氮肥下高产，科学家找到一种名为“千粒稻”的高秆水稻，该水稻具有低氮肥下高产的相关基因。为寻找该基因，将千粒稻与半矮秆稻杂交，筛选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性状的半矮秆子代，再与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杂交。重复以上操作，得到一系列只包含一小段千粒稻染色质但低氮肥高产的杂交品系（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系）。上述过程是为了尽可能避免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流入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系，以缩小筛选范围。</w:t>
      </w:r>
    </w:p>
    <w:p w14:paraId="5FD9E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系中筛选到一段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序列，命名为</w:t>
      </w:r>
      <w:r>
        <w:rPr>
          <w:rFonts w:ascii="Times New Roman" w:hAnsi="Times New Roman" w:eastAsia="Times New Roman" w:cs="Times New Roman"/>
          <w:color w:val="000000"/>
        </w:rPr>
        <w:t>qINCA2.qINCA2</w:t>
      </w:r>
      <w:r>
        <w:rPr>
          <w:rFonts w:ascii="宋体" w:hAnsi="宋体" w:eastAsia="宋体" w:cs="宋体"/>
          <w:color w:val="000000"/>
        </w:rPr>
        <w:t>与半矮秆稻的同源序列</w:t>
      </w:r>
      <w:r>
        <w:rPr>
          <w:rFonts w:ascii="Times New Roman" w:hAnsi="Times New Roman" w:eastAsia="Times New Roman" w:cs="Times New Roman"/>
          <w:color w:val="000000"/>
        </w:rPr>
        <w:t>INCA2</w:t>
      </w:r>
      <w:r>
        <w:rPr>
          <w:rFonts w:ascii="宋体" w:hAnsi="宋体" w:eastAsia="宋体" w:cs="宋体"/>
          <w:color w:val="000000"/>
        </w:rPr>
        <w:t>只有一个核苷酸差异，均不编码蛋白质。在低氮肥条件下，</w:t>
      </w:r>
      <w:r>
        <w:rPr>
          <w:rFonts w:ascii="Times New Roman" w:hAnsi="Times New Roman" w:eastAsia="Times New Roman" w:cs="Times New Roman"/>
          <w:color w:val="000000"/>
        </w:rPr>
        <w:t>INCA2</w:t>
      </w:r>
      <w:r>
        <w:rPr>
          <w:rFonts w:ascii="宋体" w:hAnsi="宋体" w:eastAsia="宋体" w:cs="宋体"/>
          <w:color w:val="000000"/>
        </w:rPr>
        <w:t>导致局部染色质成为稳定的环，把</w:t>
      </w:r>
      <w:r>
        <w:rPr>
          <w:rFonts w:ascii="Times New Roman" w:hAnsi="Times New Roman" w:eastAsia="Times New Roman" w:cs="Times New Roman"/>
          <w:color w:val="000000"/>
        </w:rPr>
        <w:t>RCN2</w:t>
      </w:r>
      <w:r>
        <w:rPr>
          <w:rFonts w:ascii="宋体" w:hAnsi="宋体" w:eastAsia="宋体" w:cs="宋体"/>
          <w:color w:val="000000"/>
        </w:rPr>
        <w:t>基因“锁”在其中（下图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），而</w:t>
      </w:r>
      <w:r>
        <w:rPr>
          <w:rFonts w:ascii="Times New Roman" w:hAnsi="Times New Roman" w:eastAsia="Times New Roman" w:cs="Times New Roman"/>
          <w:color w:val="000000"/>
        </w:rPr>
        <w:t>qINCA2</w:t>
      </w:r>
      <w:r>
        <w:rPr>
          <w:rFonts w:ascii="宋体" w:hAnsi="宋体" w:eastAsia="宋体" w:cs="宋体"/>
          <w:color w:val="000000"/>
        </w:rPr>
        <w:t>没有使染色质成环能力（下图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）。</w:t>
      </w:r>
    </w:p>
    <w:p w14:paraId="276A2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36675"/>
            <wp:effectExtent l="0" t="0" r="0" b="1587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3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07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qINCA2</w:t>
      </w:r>
      <w:r>
        <w:rPr>
          <w:rFonts w:ascii="宋体" w:hAnsi="宋体" w:eastAsia="宋体" w:cs="宋体"/>
          <w:color w:val="000000"/>
        </w:rPr>
        <w:t>控制低氮肥高产性状的分子水平解释为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185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基于以上机制欲用基因组编辑技术（可以精准快速改变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序列）改造另一种氮肥依赖型半矮秆稻品种，培育低氮肥高产型纯合子。合理的方案是先编辑该半矮秆稻的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，筛选得到低氮肥高产型第一代基因组编辑水稻。由于该水稻可能是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，需再让其进行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，然后从中筛选获得目标水稻。</w:t>
      </w:r>
    </w:p>
    <w:p w14:paraId="19CBA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平沙绿僵菌是一种昆虫病原真菌，通过分生孢子侵染蚊子，对蚊子致死率高，但引诱能力弱。利用松树长叶烯合酶基因（</w:t>
      </w:r>
      <w:r>
        <w:rPr>
          <w:rFonts w:ascii="Times New Roman" w:hAnsi="Times New Roman" w:eastAsia="Times New Roman" w:cs="Times New Roman"/>
          <w:color w:val="000000"/>
        </w:rPr>
        <w:t>Tps</w:t>
      </w:r>
      <w:r>
        <w:rPr>
          <w:rFonts w:ascii="宋体" w:hAnsi="宋体" w:eastAsia="宋体" w:cs="宋体"/>
          <w:color w:val="000000"/>
        </w:rPr>
        <w:t>）改造平沙绿僵菌，增强其引诱能力，据此研发“诱杀一体”的灭蚊剂。回答下列问题。</w:t>
      </w:r>
    </w:p>
    <w:p w14:paraId="2003D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86890"/>
            <wp:effectExtent l="0" t="0" r="0" b="3810"/>
            <wp:docPr id="1983607429" name="图片 19836074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07429" name="图片 19836074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CC9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注：质粒中限制酶切割位点间碱基对长度可忽略不计；</w:t>
      </w:r>
      <w:r>
        <w:rPr>
          <w:rFonts w:ascii="Times New Roman" w:hAnsi="Times New Roman" w:eastAsia="Times New Roman" w:cs="Times New Roman"/>
          <w:color w:val="000000"/>
        </w:rPr>
        <w:t>kb</w:t>
      </w:r>
      <w:r>
        <w:rPr>
          <w:rFonts w:ascii="宋体" w:hAnsi="宋体" w:eastAsia="宋体" w:cs="宋体"/>
          <w:color w:val="000000"/>
        </w:rPr>
        <w:t>：千碱基对。</w:t>
      </w:r>
    </w:p>
    <w:p w14:paraId="7AAAC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为提高</w:t>
      </w:r>
      <w:r>
        <w:rPr>
          <w:rFonts w:ascii="Times New Roman" w:hAnsi="Times New Roman" w:eastAsia="Times New Roman" w:cs="Times New Roman"/>
          <w:color w:val="000000"/>
        </w:rPr>
        <w:t>Tps</w:t>
      </w:r>
      <w:r>
        <w:rPr>
          <w:rFonts w:ascii="宋体" w:hAnsi="宋体" w:eastAsia="宋体" w:cs="宋体"/>
          <w:color w:val="000000"/>
        </w:rPr>
        <w:t>基因在平沙绿僵菌中的表达效率，重新设计了长叶烯合酶编码序列，该序列与天然基因序列存在较大差异，但编码的氨基酸序列不变，获取该目的基因的方法是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CC0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实验如上图，用限制酶</w:t>
      </w:r>
      <w:r>
        <w:rPr>
          <w:rFonts w:ascii="Times New Roman" w:hAnsi="Times New Roman" w:eastAsia="Times New Roman" w:cs="Times New Roman"/>
          <w:color w:val="000000"/>
        </w:rPr>
        <w:t>EcoRV</w:t>
      </w:r>
      <w:r>
        <w:rPr>
          <w:rFonts w:ascii="宋体" w:hAnsi="宋体" w:eastAsia="宋体" w:cs="宋体"/>
          <w:color w:val="000000"/>
        </w:rPr>
        <w:t>切割</w:t>
      </w:r>
      <w:r>
        <w:rPr>
          <w:rFonts w:ascii="Times New Roman" w:hAnsi="Times New Roman" w:eastAsia="Times New Roman" w:cs="Times New Roman"/>
          <w:color w:val="000000"/>
        </w:rPr>
        <w:t>pPK2</w:t>
      </w:r>
      <w:r>
        <w:rPr>
          <w:rFonts w:ascii="宋体" w:hAnsi="宋体" w:eastAsia="宋体" w:cs="宋体"/>
          <w:color w:val="000000"/>
        </w:rPr>
        <w:t>质粒，然后与</w:t>
      </w:r>
      <w:r>
        <w:rPr>
          <w:rFonts w:ascii="Times New Roman" w:hAnsi="Times New Roman" w:eastAsia="Times New Roman" w:cs="Times New Roman"/>
          <w:color w:val="000000"/>
        </w:rPr>
        <w:t>Tps</w:t>
      </w:r>
      <w:r>
        <w:rPr>
          <w:rFonts w:ascii="宋体" w:hAnsi="宋体" w:eastAsia="宋体" w:cs="宋体"/>
          <w:color w:val="000000"/>
        </w:rPr>
        <w:t>基因连接，用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coli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T4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连接酶可获得更高的连接效率。</w:t>
      </w:r>
    </w:p>
    <w:p w14:paraId="59C66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经卡那霉素筛选得到的农杆菌中，除含有目的基因的重组质粒外，还可能存在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。为鉴定重组质粒是否正确连接，利用限制酶切割并电泳检测，下列限制酶组合和片段大小，属于正确连接的是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5639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BamHI/EcoRI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0.7kb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6.1kb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BamHI/EcoRI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1.1kb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5.7kb</w:t>
      </w:r>
    </w:p>
    <w:p w14:paraId="315F7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HindIII/EcoRI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0.7kb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6.1kb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HindIII/EcoRI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1.1kb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5.7kb</w:t>
      </w:r>
    </w:p>
    <w:p w14:paraId="1F96E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农杆菌转化后，重组质粒上的</w:t>
      </w:r>
      <w:r>
        <w:rPr>
          <w:rFonts w:ascii="Times New Roman" w:hAnsi="Times New Roman" w:eastAsia="Times New Roman" w:cs="Times New Roman"/>
          <w:color w:val="000000"/>
        </w:rPr>
        <w:t>T-DNA</w:t>
      </w:r>
      <w:r>
        <w:rPr>
          <w:rFonts w:ascii="宋体" w:hAnsi="宋体" w:eastAsia="宋体" w:cs="宋体"/>
          <w:color w:val="000000"/>
        </w:rPr>
        <w:t>会转移并整合到平沙绿僵菌的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上。</w:t>
      </w:r>
    </w:p>
    <w:p w14:paraId="4E862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为筛选工程化平沙绿僵菌，用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技术进行鉴定。</w:t>
      </w:r>
      <w:r>
        <w:rPr>
          <w:rFonts w:ascii="Times New Roman" w:hAnsi="Times New Roman" w:eastAsia="Times New Roman" w:cs="Times New Roman"/>
          <w:color w:val="000000"/>
        </w:rPr>
        <w:t>Tps</w:t>
      </w:r>
      <w:r>
        <w:rPr>
          <w:rFonts w:ascii="宋体" w:hAnsi="宋体" w:eastAsia="宋体" w:cs="宋体"/>
          <w:color w:val="000000"/>
        </w:rPr>
        <w:t>基因的转录模板链部分序列为：</w:t>
      </w:r>
      <w:r>
        <w:rPr>
          <w:rFonts w:ascii="Times New Roman" w:hAnsi="Times New Roman" w:eastAsia="Times New Roman" w:cs="Times New Roman"/>
          <w:color w:val="000000"/>
        </w:rPr>
        <w:t>5′-ATGTCGTTCC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AATTGGCTCC-3′</w:t>
      </w:r>
      <w:r>
        <w:rPr>
          <w:rFonts w:ascii="宋体" w:hAnsi="宋体" w:eastAsia="宋体" w:cs="宋体"/>
          <w:color w:val="000000"/>
        </w:rPr>
        <w:t>，下列引物对可用于扩增该片段的是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53F8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5′-ATGTC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5′-CCTCG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5′-ATGTC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5′-GGAGC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</w:p>
    <w:p w14:paraId="6F83B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5′-TACAG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5′-CCTCG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5′-TACAG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5′-GGAGC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-3′</w:t>
      </w:r>
    </w:p>
    <w:p w14:paraId="1780E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研究人员比较了等量平沙绿僵菌和工程菌培养物对蚊子的诱杀效果，如下表。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2"/>
        <w:gridCol w:w="1382"/>
        <w:gridCol w:w="1382"/>
        <w:gridCol w:w="1383"/>
        <w:gridCol w:w="1383"/>
        <w:gridCol w:w="1383"/>
      </w:tblGrid>
      <w:tr w14:paraId="0909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7883F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相关指标</w:t>
            </w:r>
          </w:p>
          <w:p w14:paraId="6A5CBF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培养物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B28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访问次数</w:t>
            </w:r>
          </w:p>
          <w:p w14:paraId="14EBDA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C20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停留时间</w:t>
            </w:r>
          </w:p>
          <w:p w14:paraId="0CF06A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（分钟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62B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小时感染率</w:t>
            </w:r>
          </w:p>
          <w:p w14:paraId="6C89A7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0B3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LT</w:t>
            </w:r>
            <w:r>
              <w:rPr>
                <w:color w:val="000000"/>
                <w:vertAlign w:val="subscript"/>
              </w:rPr>
              <w:t>50</w:t>
            </w:r>
          </w:p>
          <w:p w14:paraId="13B5C8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（天）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D2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天死亡率</w:t>
            </w:r>
          </w:p>
          <w:p w14:paraId="2BF8AA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2D61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E90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平沙绿僵菌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2AE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BDB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5A1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35C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5.84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C4A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62.4</w:t>
            </w:r>
          </w:p>
        </w:tc>
      </w:tr>
      <w:tr w14:paraId="32B3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E21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工程菌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657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372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5.9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B8E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D4B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4.04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19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84.3</w:t>
            </w:r>
          </w:p>
        </w:tc>
      </w:tr>
    </w:tbl>
    <w:p w14:paraId="6DCEF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注：感染率：感染孢子的蚊子比例；</w:t>
      </w:r>
      <w:r>
        <w:rPr>
          <w:rFonts w:ascii="Times New Roman" w:hAnsi="Times New Roman" w:eastAsia="Times New Roman" w:cs="Times New Roman"/>
          <w:color w:val="000000"/>
        </w:rPr>
        <w:t>LT</w:t>
      </w:r>
      <w:r>
        <w:rPr>
          <w:color w:val="000000"/>
          <w:vertAlign w:val="subscript"/>
        </w:rPr>
        <w:t>50</w:t>
      </w:r>
      <w:r>
        <w:rPr>
          <w:rFonts w:ascii="宋体" w:hAnsi="宋体" w:eastAsia="宋体" w:cs="宋体"/>
          <w:color w:val="000000"/>
        </w:rPr>
        <w:t>（半数致死时间）；导致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蚊子死亡所需的平均时间。</w:t>
      </w:r>
    </w:p>
    <w:p w14:paraId="0A717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已知孢子附着量决定蚊子死亡速度，结合表中数据解释工程菌培养物使蚊子的</w:t>
      </w:r>
      <w:r>
        <w:rPr>
          <w:rFonts w:ascii="Times New Roman" w:hAnsi="Times New Roman" w:eastAsia="Times New Roman" w:cs="Times New Roman"/>
          <w:color w:val="000000"/>
        </w:rPr>
        <w:t>LT</w:t>
      </w:r>
      <w:r>
        <w:rPr>
          <w:color w:val="000000"/>
          <w:vertAlign w:val="subscript"/>
        </w:rPr>
        <w:t>50</w:t>
      </w:r>
      <w:r>
        <w:rPr>
          <w:rFonts w:ascii="宋体" w:hAnsi="宋体" w:eastAsia="宋体" w:cs="宋体"/>
          <w:color w:val="000000"/>
        </w:rPr>
        <w:t>显著缩短且第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天死亡率更高的原因是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30A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该工程菌制剂在推广前，需经过严格的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评价，符合标准后方可推广。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4BEA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C2B5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C36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E738C5"/>
    <w:rsid w:val="4F8C1A51"/>
    <w:rsid w:val="667B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6333</Words>
  <Characters>7202</Characters>
  <Lines>0</Lines>
  <Paragraphs>0</Paragraphs>
  <TotalTime>5</TotalTime>
  <ScaleCrop>false</ScaleCrop>
  <LinksUpToDate>false</LinksUpToDate>
  <CharactersWithSpaces>7378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2026-06-17T09:22:00Z</dcterms:created>
  <dc:creator>学科网试题生产平台</dc:creator>
  <dc:description>4035973203976192</dc:description>
  <cp:lastModifiedBy>上帝掷骰子吗</cp:lastModifiedBy>
  <dcterms:modified xsi:type="dcterms:W3CDTF">2026-09-18T16:49:58Z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D08A07DA78394B40A1975B61B7277A04_12</vt:lpwstr>
  </property>
</Properties>
</file>